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38" w:rsidRPr="00B36B19" w:rsidRDefault="00916438" w:rsidP="00916438">
      <w:pPr>
        <w:widowControl w:val="0"/>
        <w:jc w:val="center"/>
        <w:rPr>
          <w:b/>
          <w:bCs/>
          <w:sz w:val="26"/>
          <w:szCs w:val="26"/>
        </w:rPr>
      </w:pPr>
      <w:r w:rsidRPr="00B36B19">
        <w:rPr>
          <w:b/>
          <w:sz w:val="26"/>
          <w:szCs w:val="26"/>
          <w:lang w:bidi="en-US"/>
        </w:rPr>
        <w:t>Notice of Essential Fact</w:t>
      </w:r>
    </w:p>
    <w:p w:rsidR="0064471D" w:rsidRPr="0064471D" w:rsidRDefault="006E167F" w:rsidP="00916438">
      <w:pPr>
        <w:widowControl w:val="0"/>
        <w:jc w:val="center"/>
        <w:rPr>
          <w:b/>
          <w:sz w:val="26"/>
          <w:szCs w:val="26"/>
          <w:lang w:bidi="en-US"/>
        </w:rPr>
      </w:pPr>
      <w:r>
        <w:rPr>
          <w:b/>
          <w:sz w:val="26"/>
          <w:szCs w:val="26"/>
          <w:lang w:bidi="en-US"/>
        </w:rPr>
        <w:t>“</w:t>
      </w:r>
      <w:r w:rsidR="00916438" w:rsidRPr="0064471D">
        <w:rPr>
          <w:b/>
          <w:sz w:val="26"/>
          <w:szCs w:val="26"/>
          <w:lang w:bidi="en-US"/>
        </w:rPr>
        <w:t>Arrangement of the general meeting of participants (shareholders) of the Issuer and the decisions taken thereby</w:t>
      </w:r>
      <w:r>
        <w:rPr>
          <w:b/>
          <w:sz w:val="26"/>
          <w:szCs w:val="26"/>
          <w:lang w:bidi="en-US"/>
        </w:rPr>
        <w:t>”</w:t>
      </w:r>
      <w:r w:rsidR="00916438" w:rsidRPr="0064471D">
        <w:rPr>
          <w:b/>
          <w:sz w:val="26"/>
          <w:szCs w:val="26"/>
          <w:lang w:bidi="en-US"/>
        </w:rPr>
        <w:t xml:space="preserve"> (Insider Information Disclosure)</w:t>
      </w:r>
    </w:p>
    <w:p w:rsidR="00C115F2" w:rsidRPr="00B36B19" w:rsidRDefault="00C115F2" w:rsidP="00131190">
      <w:pPr>
        <w:widowControl w:val="0"/>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9"/>
        <w:gridCol w:w="2690"/>
        <w:gridCol w:w="2126"/>
      </w:tblGrid>
      <w:tr w:rsidR="00137C8F" w:rsidRPr="00B36B19" w:rsidTr="00FE6E08">
        <w:trPr>
          <w:trHeight w:val="20"/>
          <w:jc w:val="center"/>
        </w:trPr>
        <w:tc>
          <w:tcPr>
            <w:tcW w:w="10485" w:type="dxa"/>
            <w:gridSpan w:val="3"/>
            <w:vAlign w:val="center"/>
          </w:tcPr>
          <w:p w:rsidR="00137C8F" w:rsidRPr="00B36B19" w:rsidRDefault="00137C8F" w:rsidP="00987113">
            <w:pPr>
              <w:widowControl w:val="0"/>
              <w:autoSpaceDE/>
              <w:autoSpaceDN/>
              <w:spacing w:after="60"/>
              <w:jc w:val="center"/>
              <w:rPr>
                <w:sz w:val="26"/>
                <w:szCs w:val="26"/>
              </w:rPr>
            </w:pPr>
            <w:r w:rsidRPr="00B36B19">
              <w:rPr>
                <w:sz w:val="26"/>
                <w:szCs w:val="26"/>
                <w:lang w:bidi="en-US"/>
              </w:rPr>
              <w:t>1. General information</w:t>
            </w:r>
          </w:p>
        </w:tc>
      </w:tr>
      <w:tr w:rsidR="00137C8F" w:rsidRPr="00B36B19" w:rsidTr="00B36B19">
        <w:trPr>
          <w:trHeight w:val="20"/>
          <w:jc w:val="center"/>
        </w:trPr>
        <w:tc>
          <w:tcPr>
            <w:tcW w:w="5669" w:type="dxa"/>
            <w:vAlign w:val="center"/>
          </w:tcPr>
          <w:p w:rsidR="00137C8F" w:rsidRPr="00B36B19" w:rsidRDefault="00137C8F" w:rsidP="00987113">
            <w:pPr>
              <w:widowControl w:val="0"/>
              <w:ind w:left="57"/>
              <w:rPr>
                <w:sz w:val="26"/>
                <w:szCs w:val="26"/>
              </w:rPr>
            </w:pPr>
            <w:r w:rsidRPr="00B36B19">
              <w:rPr>
                <w:sz w:val="26"/>
                <w:szCs w:val="26"/>
                <w:lang w:bidi="en-US"/>
              </w:rPr>
              <w:t>1.1. Issuer's full business name</w:t>
            </w:r>
          </w:p>
        </w:tc>
        <w:tc>
          <w:tcPr>
            <w:tcW w:w="4816" w:type="dxa"/>
            <w:gridSpan w:val="2"/>
          </w:tcPr>
          <w:p w:rsidR="00137C8F" w:rsidRPr="00B36B19" w:rsidRDefault="00137C8F" w:rsidP="00D53E09">
            <w:pPr>
              <w:widowControl w:val="0"/>
              <w:ind w:left="57"/>
              <w:rPr>
                <w:sz w:val="26"/>
                <w:szCs w:val="26"/>
              </w:rPr>
            </w:pPr>
            <w:r w:rsidRPr="00B36B19">
              <w:rPr>
                <w:sz w:val="26"/>
                <w:szCs w:val="26"/>
                <w:lang w:bidi="en-US"/>
              </w:rPr>
              <w:t>Interregional Distribution Grid Company of North-West Public Joint Stock Company</w:t>
            </w:r>
          </w:p>
        </w:tc>
      </w:tr>
      <w:tr w:rsidR="00137C8F" w:rsidRPr="00B36B19" w:rsidTr="00B36B19">
        <w:trPr>
          <w:trHeight w:val="20"/>
          <w:jc w:val="center"/>
        </w:trPr>
        <w:tc>
          <w:tcPr>
            <w:tcW w:w="5669" w:type="dxa"/>
            <w:vAlign w:val="center"/>
          </w:tcPr>
          <w:p w:rsidR="00137C8F" w:rsidRPr="00B36B19" w:rsidRDefault="00137C8F" w:rsidP="00987113">
            <w:pPr>
              <w:widowControl w:val="0"/>
              <w:ind w:left="57"/>
              <w:rPr>
                <w:sz w:val="26"/>
                <w:szCs w:val="26"/>
              </w:rPr>
            </w:pPr>
            <w:r w:rsidRPr="00B36B19">
              <w:rPr>
                <w:sz w:val="26"/>
                <w:szCs w:val="26"/>
                <w:lang w:bidi="en-US"/>
              </w:rPr>
              <w:t>1.2. Issuer’s abbreviated business name</w:t>
            </w:r>
          </w:p>
        </w:tc>
        <w:tc>
          <w:tcPr>
            <w:tcW w:w="4816" w:type="dxa"/>
            <w:gridSpan w:val="2"/>
            <w:vAlign w:val="center"/>
          </w:tcPr>
          <w:p w:rsidR="00137C8F" w:rsidRPr="00B36B19" w:rsidRDefault="00137C8F" w:rsidP="00987113">
            <w:pPr>
              <w:widowControl w:val="0"/>
              <w:ind w:left="57"/>
              <w:rPr>
                <w:sz w:val="26"/>
                <w:szCs w:val="26"/>
              </w:rPr>
            </w:pPr>
            <w:r w:rsidRPr="00B36B19">
              <w:rPr>
                <w:sz w:val="26"/>
                <w:szCs w:val="26"/>
                <w:lang w:bidi="en-US"/>
              </w:rPr>
              <w:t>IDGC of North-West, PJSC</w:t>
            </w:r>
          </w:p>
        </w:tc>
      </w:tr>
      <w:tr w:rsidR="00137C8F" w:rsidRPr="00B36B19" w:rsidTr="00B36B19">
        <w:trPr>
          <w:trHeight w:val="20"/>
          <w:jc w:val="center"/>
        </w:trPr>
        <w:tc>
          <w:tcPr>
            <w:tcW w:w="5669" w:type="dxa"/>
            <w:vAlign w:val="center"/>
          </w:tcPr>
          <w:p w:rsidR="00137C8F" w:rsidRPr="00B36B19" w:rsidRDefault="00137C8F" w:rsidP="00987113">
            <w:pPr>
              <w:widowControl w:val="0"/>
              <w:ind w:left="57"/>
              <w:rPr>
                <w:sz w:val="26"/>
                <w:szCs w:val="26"/>
              </w:rPr>
            </w:pPr>
            <w:r w:rsidRPr="00B36B19">
              <w:rPr>
                <w:sz w:val="26"/>
                <w:szCs w:val="26"/>
                <w:lang w:bidi="en-US"/>
              </w:rPr>
              <w:t>1.3. Issuer’s place of business</w:t>
            </w:r>
          </w:p>
        </w:tc>
        <w:tc>
          <w:tcPr>
            <w:tcW w:w="4816" w:type="dxa"/>
            <w:gridSpan w:val="2"/>
          </w:tcPr>
          <w:p w:rsidR="0064471D" w:rsidRDefault="00DA715F" w:rsidP="00DA715F">
            <w:pPr>
              <w:widowControl w:val="0"/>
              <w:ind w:left="57" w:right="57"/>
              <w:rPr>
                <w:sz w:val="26"/>
                <w:szCs w:val="26"/>
                <w:lang w:bidi="en-US"/>
              </w:rPr>
            </w:pPr>
            <w:r w:rsidRPr="00B36B19">
              <w:rPr>
                <w:sz w:val="26"/>
                <w:szCs w:val="26"/>
                <w:lang w:bidi="en-US"/>
              </w:rPr>
              <w:t>Saint Petersburg, Russia</w:t>
            </w:r>
          </w:p>
          <w:p w:rsidR="00137C8F" w:rsidRPr="00753EE5" w:rsidRDefault="00DA715F" w:rsidP="005C6587">
            <w:pPr>
              <w:widowControl w:val="0"/>
              <w:ind w:left="57"/>
              <w:rPr>
                <w:sz w:val="26"/>
                <w:szCs w:val="26"/>
              </w:rPr>
            </w:pPr>
            <w:r w:rsidRPr="00B36B19">
              <w:rPr>
                <w:sz w:val="26"/>
                <w:szCs w:val="26"/>
                <w:lang w:bidi="en-US"/>
              </w:rPr>
              <w:t>Address of the Company: 196247, Saint Petersburg, 3 Ko</w:t>
            </w:r>
            <w:r w:rsidR="00753EE5">
              <w:rPr>
                <w:sz w:val="26"/>
                <w:szCs w:val="26"/>
                <w:lang w:bidi="en-US"/>
              </w:rPr>
              <w:t>nstitutsii Sq., Lit. А, Room 16N</w:t>
            </w:r>
            <w:bookmarkStart w:id="0" w:name="_GoBack"/>
            <w:bookmarkEnd w:id="0"/>
          </w:p>
        </w:tc>
      </w:tr>
      <w:tr w:rsidR="00137C8F" w:rsidRPr="00B36B19" w:rsidTr="00B36B19">
        <w:trPr>
          <w:trHeight w:val="20"/>
          <w:jc w:val="center"/>
        </w:trPr>
        <w:tc>
          <w:tcPr>
            <w:tcW w:w="5669" w:type="dxa"/>
          </w:tcPr>
          <w:p w:rsidR="00137C8F" w:rsidRPr="00B36B19" w:rsidRDefault="00137C8F" w:rsidP="00987113">
            <w:pPr>
              <w:widowControl w:val="0"/>
              <w:spacing w:before="40" w:after="40"/>
              <w:ind w:left="57"/>
              <w:rPr>
                <w:sz w:val="26"/>
                <w:szCs w:val="26"/>
              </w:rPr>
            </w:pPr>
            <w:r w:rsidRPr="00B36B19">
              <w:rPr>
                <w:sz w:val="26"/>
                <w:szCs w:val="26"/>
                <w:lang w:bidi="en-US"/>
              </w:rPr>
              <w:t>1.4. Issuer’s OGRN (Primary State Registration Number)</w:t>
            </w:r>
          </w:p>
        </w:tc>
        <w:tc>
          <w:tcPr>
            <w:tcW w:w="4816" w:type="dxa"/>
            <w:gridSpan w:val="2"/>
          </w:tcPr>
          <w:p w:rsidR="00137C8F" w:rsidRPr="00B36B19" w:rsidRDefault="00137C8F" w:rsidP="00987113">
            <w:pPr>
              <w:widowControl w:val="0"/>
              <w:spacing w:before="40" w:after="40"/>
              <w:ind w:left="57"/>
              <w:rPr>
                <w:sz w:val="26"/>
                <w:szCs w:val="26"/>
              </w:rPr>
            </w:pPr>
            <w:r w:rsidRPr="00B36B19">
              <w:rPr>
                <w:sz w:val="26"/>
                <w:szCs w:val="26"/>
                <w:lang w:bidi="en-US"/>
              </w:rPr>
              <w:t>1047855175785</w:t>
            </w:r>
          </w:p>
        </w:tc>
      </w:tr>
      <w:tr w:rsidR="00137C8F" w:rsidRPr="00B36B19" w:rsidTr="00B36B19">
        <w:trPr>
          <w:trHeight w:val="20"/>
          <w:jc w:val="center"/>
        </w:trPr>
        <w:tc>
          <w:tcPr>
            <w:tcW w:w="5669" w:type="dxa"/>
          </w:tcPr>
          <w:p w:rsidR="00137C8F" w:rsidRPr="00B36B19" w:rsidRDefault="00137C8F" w:rsidP="00987113">
            <w:pPr>
              <w:widowControl w:val="0"/>
              <w:spacing w:before="40" w:after="40"/>
              <w:ind w:left="57"/>
              <w:rPr>
                <w:sz w:val="26"/>
                <w:szCs w:val="26"/>
              </w:rPr>
            </w:pPr>
            <w:r w:rsidRPr="00B36B19">
              <w:rPr>
                <w:sz w:val="26"/>
                <w:szCs w:val="26"/>
                <w:lang w:bidi="en-US"/>
              </w:rPr>
              <w:t>1.5. Issuer’s INN (Taxpayer Identification Number)</w:t>
            </w:r>
          </w:p>
        </w:tc>
        <w:tc>
          <w:tcPr>
            <w:tcW w:w="4816" w:type="dxa"/>
            <w:gridSpan w:val="2"/>
          </w:tcPr>
          <w:p w:rsidR="00137C8F" w:rsidRPr="00B36B19" w:rsidRDefault="00137C8F" w:rsidP="00987113">
            <w:pPr>
              <w:widowControl w:val="0"/>
              <w:spacing w:before="40" w:after="40"/>
              <w:ind w:left="57"/>
              <w:rPr>
                <w:sz w:val="26"/>
                <w:szCs w:val="26"/>
              </w:rPr>
            </w:pPr>
            <w:r w:rsidRPr="00B36B19">
              <w:rPr>
                <w:sz w:val="26"/>
                <w:szCs w:val="26"/>
                <w:lang w:bidi="en-US"/>
              </w:rPr>
              <w:t>7802312751</w:t>
            </w:r>
          </w:p>
        </w:tc>
      </w:tr>
      <w:tr w:rsidR="00137C8F" w:rsidRPr="00B36B19" w:rsidTr="00B36B19">
        <w:trPr>
          <w:trHeight w:val="644"/>
          <w:jc w:val="center"/>
        </w:trPr>
        <w:tc>
          <w:tcPr>
            <w:tcW w:w="5669" w:type="dxa"/>
          </w:tcPr>
          <w:p w:rsidR="00137C8F" w:rsidRPr="00B36B19" w:rsidRDefault="00137C8F" w:rsidP="00987113">
            <w:pPr>
              <w:widowControl w:val="0"/>
              <w:ind w:left="57"/>
              <w:rPr>
                <w:sz w:val="26"/>
                <w:szCs w:val="26"/>
              </w:rPr>
            </w:pPr>
            <w:r w:rsidRPr="00B36B19">
              <w:rPr>
                <w:sz w:val="26"/>
                <w:szCs w:val="26"/>
                <w:lang w:bidi="en-US"/>
              </w:rPr>
              <w:t>1.6. Issuer’s unique code assigned by the registration body</w:t>
            </w:r>
          </w:p>
        </w:tc>
        <w:tc>
          <w:tcPr>
            <w:tcW w:w="4816" w:type="dxa"/>
            <w:gridSpan w:val="2"/>
            <w:vAlign w:val="center"/>
          </w:tcPr>
          <w:p w:rsidR="00137C8F" w:rsidRPr="00B36B19" w:rsidRDefault="00137C8F" w:rsidP="00987113">
            <w:pPr>
              <w:widowControl w:val="0"/>
              <w:ind w:left="57"/>
              <w:rPr>
                <w:sz w:val="26"/>
                <w:szCs w:val="26"/>
              </w:rPr>
            </w:pPr>
            <w:r w:rsidRPr="00B36B19">
              <w:rPr>
                <w:sz w:val="26"/>
                <w:szCs w:val="26"/>
                <w:lang w:bidi="en-US"/>
              </w:rPr>
              <w:t>03347-D</w:t>
            </w:r>
          </w:p>
        </w:tc>
      </w:tr>
      <w:tr w:rsidR="00137C8F" w:rsidRPr="00B36B19" w:rsidTr="00B36B19">
        <w:trPr>
          <w:trHeight w:val="20"/>
          <w:jc w:val="center"/>
        </w:trPr>
        <w:tc>
          <w:tcPr>
            <w:tcW w:w="5669" w:type="dxa"/>
          </w:tcPr>
          <w:p w:rsidR="00D53E09" w:rsidRPr="00B36B19" w:rsidRDefault="00137C8F" w:rsidP="00BA75E7">
            <w:pPr>
              <w:widowControl w:val="0"/>
              <w:ind w:left="57"/>
              <w:rPr>
                <w:sz w:val="26"/>
                <w:szCs w:val="26"/>
              </w:rPr>
            </w:pPr>
            <w:r w:rsidRPr="00B36B19">
              <w:rPr>
                <w:sz w:val="26"/>
                <w:szCs w:val="26"/>
                <w:lang w:bidi="en-US"/>
              </w:rPr>
              <w:t>1.7. Web page address used by the Issuer for information disclosure</w:t>
            </w:r>
          </w:p>
        </w:tc>
        <w:tc>
          <w:tcPr>
            <w:tcW w:w="4816" w:type="dxa"/>
            <w:gridSpan w:val="2"/>
          </w:tcPr>
          <w:p w:rsidR="0064471D" w:rsidRDefault="00753EE5" w:rsidP="006907BF">
            <w:pPr>
              <w:widowControl w:val="0"/>
              <w:ind w:left="57"/>
              <w:rPr>
                <w:sz w:val="26"/>
                <w:szCs w:val="26"/>
                <w:lang w:bidi="en-US"/>
              </w:rPr>
            </w:pPr>
            <w:hyperlink r:id="rId8" w:history="1">
              <w:r w:rsidR="002A13FC" w:rsidRPr="00B36B19">
                <w:rPr>
                  <w:rStyle w:val="ab"/>
                  <w:sz w:val="26"/>
                  <w:szCs w:val="26"/>
                  <w:lang w:bidi="en-US"/>
                </w:rPr>
                <w:t>http://www.disclosure.ru/issuer/7802312751</w:t>
              </w:r>
            </w:hyperlink>
          </w:p>
          <w:p w:rsidR="00137C8F" w:rsidRPr="00B36B19" w:rsidRDefault="00753EE5" w:rsidP="006907BF">
            <w:pPr>
              <w:widowControl w:val="0"/>
              <w:ind w:left="57"/>
              <w:rPr>
                <w:sz w:val="26"/>
                <w:szCs w:val="26"/>
              </w:rPr>
            </w:pPr>
            <w:hyperlink r:id="rId9" w:history="1">
              <w:r w:rsidR="00057715" w:rsidRPr="00B36B19">
                <w:rPr>
                  <w:rStyle w:val="ab"/>
                  <w:sz w:val="26"/>
                  <w:szCs w:val="26"/>
                  <w:lang w:bidi="en-US"/>
                </w:rPr>
                <w:t>http://www.mrsksevzap.ru</w:t>
              </w:r>
            </w:hyperlink>
          </w:p>
          <w:p w:rsidR="00057715" w:rsidRPr="00B36B19" w:rsidRDefault="00057715" w:rsidP="006907BF">
            <w:pPr>
              <w:widowControl w:val="0"/>
              <w:ind w:left="57"/>
              <w:rPr>
                <w:sz w:val="26"/>
                <w:szCs w:val="26"/>
              </w:rPr>
            </w:pPr>
          </w:p>
        </w:tc>
      </w:tr>
      <w:tr w:rsidR="00D02937" w:rsidRPr="00B36B19" w:rsidTr="00B36B19">
        <w:trPr>
          <w:trHeight w:val="20"/>
          <w:jc w:val="center"/>
        </w:trPr>
        <w:tc>
          <w:tcPr>
            <w:tcW w:w="5669" w:type="dxa"/>
          </w:tcPr>
          <w:p w:rsidR="00D02937" w:rsidRPr="00B36B19" w:rsidRDefault="00FC42D6" w:rsidP="00BA75E7">
            <w:pPr>
              <w:widowControl w:val="0"/>
              <w:ind w:left="57"/>
              <w:rPr>
                <w:sz w:val="26"/>
                <w:szCs w:val="26"/>
              </w:rPr>
            </w:pPr>
            <w:r w:rsidRPr="00B36B19">
              <w:rPr>
                <w:sz w:val="26"/>
                <w:szCs w:val="26"/>
                <w:lang w:bidi="en-US"/>
              </w:rPr>
              <w:t>1.8. Date of occurrence of the event (essential fact)</w:t>
            </w:r>
            <w:r w:rsidR="0064471D">
              <w:rPr>
                <w:sz w:val="26"/>
                <w:szCs w:val="26"/>
                <w:lang w:bidi="en-US"/>
              </w:rPr>
              <w:t xml:space="preserve"> </w:t>
            </w:r>
            <w:r w:rsidRPr="00B36B19">
              <w:rPr>
                <w:sz w:val="26"/>
                <w:szCs w:val="26"/>
                <w:lang w:bidi="en-US"/>
              </w:rPr>
              <w:t xml:space="preserve">about which the notice is drawn up (if applicable) </w:t>
            </w:r>
          </w:p>
        </w:tc>
        <w:tc>
          <w:tcPr>
            <w:tcW w:w="4816" w:type="dxa"/>
            <w:gridSpan w:val="2"/>
          </w:tcPr>
          <w:p w:rsidR="00D02937" w:rsidRPr="00B36B19" w:rsidRDefault="00687035" w:rsidP="006E167F">
            <w:pPr>
              <w:widowControl w:val="0"/>
              <w:ind w:left="57"/>
              <w:rPr>
                <w:b/>
                <w:sz w:val="26"/>
                <w:szCs w:val="26"/>
              </w:rPr>
            </w:pPr>
            <w:r w:rsidRPr="00B32721">
              <w:rPr>
                <w:b/>
                <w:sz w:val="26"/>
                <w:szCs w:val="26"/>
                <w:lang w:bidi="en-US"/>
              </w:rPr>
              <w:t>09.01.2020</w:t>
            </w:r>
          </w:p>
        </w:tc>
      </w:tr>
      <w:tr w:rsidR="00137C8F" w:rsidRPr="00B36B1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B36B19" w:rsidRDefault="00137C8F" w:rsidP="00987113">
            <w:pPr>
              <w:widowControl w:val="0"/>
              <w:autoSpaceDE/>
              <w:autoSpaceDN/>
              <w:spacing w:after="60"/>
              <w:jc w:val="center"/>
              <w:rPr>
                <w:sz w:val="26"/>
                <w:szCs w:val="26"/>
              </w:rPr>
            </w:pPr>
            <w:r w:rsidRPr="00B36B19">
              <w:rPr>
                <w:sz w:val="26"/>
                <w:szCs w:val="26"/>
                <w:lang w:bidi="en-US"/>
              </w:rPr>
              <w:t>2. Content of the Notice</w:t>
            </w:r>
          </w:p>
        </w:tc>
      </w:tr>
      <w:tr w:rsidR="00137C8F" w:rsidRPr="00B36B19" w:rsidTr="005371AC">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E525D1" w:rsidRPr="00B32721" w:rsidRDefault="009F1A53" w:rsidP="003F0D13">
            <w:pPr>
              <w:widowControl w:val="0"/>
              <w:autoSpaceDE/>
              <w:autoSpaceDN/>
              <w:ind w:left="57" w:right="57"/>
              <w:contextualSpacing/>
              <w:jc w:val="both"/>
              <w:rPr>
                <w:b/>
                <w:bCs/>
                <w:sz w:val="25"/>
                <w:szCs w:val="25"/>
              </w:rPr>
            </w:pPr>
            <w:r w:rsidRPr="00B32721">
              <w:rPr>
                <w:sz w:val="25"/>
                <w:szCs w:val="25"/>
                <w:lang w:bidi="en-US"/>
              </w:rPr>
              <w:t xml:space="preserve">2.1. Type of the general meeting of participants (shareholders) of the Issuer </w:t>
            </w:r>
            <w:r w:rsidR="005C6587">
              <w:rPr>
                <w:sz w:val="25"/>
                <w:szCs w:val="25"/>
                <w:lang w:bidi="en-US"/>
              </w:rPr>
              <w:t>(</w:t>
            </w:r>
            <w:r w:rsidRPr="00B32721">
              <w:rPr>
                <w:sz w:val="25"/>
                <w:szCs w:val="25"/>
                <w:lang w:bidi="en-US"/>
              </w:rPr>
              <w:t>annual (regular), irregular</w:t>
            </w:r>
            <w:r w:rsidR="005C6587">
              <w:rPr>
                <w:sz w:val="25"/>
                <w:szCs w:val="25"/>
                <w:lang w:bidi="en-US"/>
              </w:rPr>
              <w:t>)</w:t>
            </w:r>
            <w:r w:rsidRPr="00B32721">
              <w:rPr>
                <w:sz w:val="25"/>
                <w:szCs w:val="25"/>
                <w:lang w:bidi="en-US"/>
              </w:rPr>
              <w:t xml:space="preserve">: </w:t>
            </w:r>
            <w:r w:rsidRPr="00B32721">
              <w:rPr>
                <w:b/>
                <w:sz w:val="25"/>
                <w:szCs w:val="25"/>
                <w:lang w:bidi="en-US"/>
              </w:rPr>
              <w:t>irregular.</w:t>
            </w:r>
          </w:p>
          <w:p w:rsidR="009F1A53" w:rsidRPr="00B32721" w:rsidRDefault="009F1A53" w:rsidP="003F0D13">
            <w:pPr>
              <w:widowControl w:val="0"/>
              <w:autoSpaceDE/>
              <w:autoSpaceDN/>
              <w:ind w:left="57" w:right="57"/>
              <w:contextualSpacing/>
              <w:jc w:val="both"/>
              <w:rPr>
                <w:bCs/>
                <w:sz w:val="25"/>
                <w:szCs w:val="25"/>
              </w:rPr>
            </w:pPr>
            <w:r w:rsidRPr="00B32721">
              <w:rPr>
                <w:sz w:val="25"/>
                <w:szCs w:val="25"/>
                <w:lang w:bidi="en-US"/>
              </w:rPr>
              <w:t>2.2. Form of arrangement of the general meeting of participants (shareholders) of the Issuer (meeting (joint attendance) or absentee voting</w:t>
            </w:r>
            <w:r w:rsidR="005C6587">
              <w:rPr>
                <w:sz w:val="25"/>
                <w:szCs w:val="25"/>
                <w:lang w:bidi="en-US"/>
              </w:rPr>
              <w:t>)</w:t>
            </w:r>
            <w:r w:rsidRPr="00B32721">
              <w:rPr>
                <w:sz w:val="25"/>
                <w:szCs w:val="25"/>
                <w:lang w:bidi="en-US"/>
              </w:rPr>
              <w:t>:</w:t>
            </w:r>
            <w:r w:rsidRPr="00B32721">
              <w:rPr>
                <w:b/>
                <w:i/>
                <w:sz w:val="25"/>
                <w:szCs w:val="25"/>
                <w:lang w:bidi="en-US"/>
              </w:rPr>
              <w:t xml:space="preserve"> </w:t>
            </w:r>
            <w:r w:rsidRPr="00B32721">
              <w:rPr>
                <w:b/>
                <w:sz w:val="25"/>
                <w:szCs w:val="25"/>
                <w:lang w:bidi="en-US"/>
              </w:rPr>
              <w:t>absentee voting.</w:t>
            </w:r>
          </w:p>
          <w:p w:rsidR="00095B5D" w:rsidRPr="00B32721" w:rsidRDefault="009F1A53" w:rsidP="00095B5D">
            <w:pPr>
              <w:widowControl w:val="0"/>
              <w:autoSpaceDE/>
              <w:autoSpaceDN/>
              <w:ind w:left="57" w:right="57"/>
              <w:contextualSpacing/>
              <w:jc w:val="both"/>
              <w:rPr>
                <w:bCs/>
                <w:sz w:val="25"/>
                <w:szCs w:val="25"/>
              </w:rPr>
            </w:pPr>
            <w:r w:rsidRPr="00B32721">
              <w:rPr>
                <w:sz w:val="25"/>
                <w:szCs w:val="25"/>
                <w:lang w:bidi="en-US"/>
              </w:rPr>
              <w:t>2.3. Date, location and time of arrangement of the general meeting of participants (shareholders) of the Issuer:</w:t>
            </w:r>
          </w:p>
          <w:p w:rsidR="00095B5D" w:rsidRPr="00B32721" w:rsidRDefault="00095B5D" w:rsidP="00095B5D">
            <w:pPr>
              <w:widowControl w:val="0"/>
              <w:autoSpaceDE/>
              <w:autoSpaceDN/>
              <w:ind w:left="57" w:right="57"/>
              <w:contextualSpacing/>
              <w:jc w:val="both"/>
              <w:rPr>
                <w:bCs/>
                <w:sz w:val="25"/>
                <w:szCs w:val="25"/>
              </w:rPr>
            </w:pPr>
            <w:r w:rsidRPr="00B32721">
              <w:rPr>
                <w:sz w:val="25"/>
                <w:szCs w:val="25"/>
                <w:lang w:bidi="en-US"/>
              </w:rPr>
              <w:t>Arrangement date of the extraordinary General Meeting of Shareholders of the Company</w:t>
            </w:r>
            <w:r w:rsidR="005C6587">
              <w:rPr>
                <w:sz w:val="25"/>
                <w:szCs w:val="25"/>
                <w:lang w:bidi="en-US"/>
              </w:rPr>
              <w:t xml:space="preserve"> – </w:t>
            </w:r>
            <w:r w:rsidRPr="00B32721">
              <w:rPr>
                <w:b/>
                <w:sz w:val="25"/>
                <w:szCs w:val="25"/>
                <w:lang w:bidi="en-US"/>
              </w:rPr>
              <w:t>December 31, 2019.</w:t>
            </w:r>
          </w:p>
          <w:p w:rsidR="00095B5D" w:rsidRPr="00B51B72" w:rsidRDefault="002031C7" w:rsidP="002031C7">
            <w:pPr>
              <w:widowControl w:val="0"/>
              <w:autoSpaceDE/>
              <w:autoSpaceDN/>
              <w:ind w:left="57" w:right="57"/>
              <w:contextualSpacing/>
              <w:jc w:val="both"/>
              <w:rPr>
                <w:bCs/>
                <w:sz w:val="25"/>
                <w:szCs w:val="25"/>
              </w:rPr>
            </w:pPr>
            <w:r>
              <w:rPr>
                <w:sz w:val="25"/>
                <w:szCs w:val="25"/>
                <w:lang w:bidi="en-US"/>
              </w:rPr>
              <w:t>Place and time of holding the General Meeting of Shareholders of the Issuer</w:t>
            </w:r>
            <w:r w:rsidR="005C6587">
              <w:rPr>
                <w:sz w:val="25"/>
                <w:szCs w:val="25"/>
                <w:lang w:bidi="en-US"/>
              </w:rPr>
              <w:t xml:space="preserve"> – </w:t>
            </w:r>
            <w:r>
              <w:rPr>
                <w:b/>
                <w:sz w:val="25"/>
                <w:szCs w:val="25"/>
                <w:lang w:bidi="en-US"/>
              </w:rPr>
              <w:t>General Meeting of Shareholders in the form of an absentee voting.</w:t>
            </w:r>
          </w:p>
          <w:p w:rsidR="001A0D7F" w:rsidRPr="00B51B72" w:rsidRDefault="009F1A53" w:rsidP="001A0D7F">
            <w:pPr>
              <w:widowControl w:val="0"/>
              <w:autoSpaceDE/>
              <w:autoSpaceDN/>
              <w:ind w:left="57" w:right="57"/>
              <w:contextualSpacing/>
              <w:jc w:val="both"/>
              <w:rPr>
                <w:bCs/>
                <w:sz w:val="25"/>
                <w:szCs w:val="25"/>
              </w:rPr>
            </w:pPr>
            <w:r w:rsidRPr="00B51B72">
              <w:rPr>
                <w:sz w:val="25"/>
                <w:szCs w:val="25"/>
                <w:lang w:bidi="en-US"/>
              </w:rPr>
              <w:t>2.4. The quorum of the general meeting of participants</w:t>
            </w:r>
            <w:r w:rsidR="0064471D">
              <w:rPr>
                <w:sz w:val="25"/>
                <w:szCs w:val="25"/>
                <w:lang w:bidi="en-US"/>
              </w:rPr>
              <w:t xml:space="preserve"> </w:t>
            </w:r>
            <w:r w:rsidRPr="00B51B72">
              <w:rPr>
                <w:sz w:val="25"/>
                <w:szCs w:val="25"/>
                <w:lang w:bidi="en-US"/>
              </w:rPr>
              <w:t>(shareholders) of the Issuer.</w:t>
            </w:r>
          </w:p>
          <w:p w:rsidR="00CD2908" w:rsidRPr="00B51B72" w:rsidRDefault="00CD2908" w:rsidP="005B1F00">
            <w:pPr>
              <w:widowControl w:val="0"/>
              <w:autoSpaceDE/>
              <w:autoSpaceDN/>
              <w:ind w:left="57" w:right="57"/>
              <w:contextualSpacing/>
              <w:jc w:val="both"/>
              <w:rPr>
                <w:bCs/>
                <w:sz w:val="25"/>
                <w:szCs w:val="25"/>
              </w:rPr>
            </w:pPr>
            <w:r w:rsidRPr="00B51B72">
              <w:rPr>
                <w:sz w:val="25"/>
                <w:szCs w:val="25"/>
                <w:lang w:bidi="en-US"/>
              </w:rPr>
              <w:t>On Issue No</w:t>
            </w:r>
            <w:r w:rsidR="006E167F">
              <w:rPr>
                <w:sz w:val="25"/>
                <w:szCs w:val="25"/>
                <w:lang w:bidi="en-US"/>
              </w:rPr>
              <w:t>.</w:t>
            </w:r>
            <w:r w:rsidRPr="00B51B72">
              <w:rPr>
                <w:sz w:val="25"/>
                <w:szCs w:val="25"/>
                <w:lang w:bidi="en-US"/>
              </w:rPr>
              <w:t xml:space="preserve"> 1 on the agenda:</w:t>
            </w:r>
          </w:p>
          <w:p w:rsidR="004E6B12" w:rsidRPr="00B51B72" w:rsidRDefault="004E6B12" w:rsidP="005B1F00">
            <w:pPr>
              <w:widowControl w:val="0"/>
              <w:autoSpaceDE/>
              <w:autoSpaceDN/>
              <w:ind w:left="57" w:right="57"/>
              <w:contextualSpacing/>
              <w:jc w:val="both"/>
              <w:rPr>
                <w:b/>
                <w:bCs/>
                <w:sz w:val="25"/>
                <w:szCs w:val="25"/>
              </w:rPr>
            </w:pPr>
            <w:r w:rsidRPr="00B51B72">
              <w:rPr>
                <w:sz w:val="25"/>
                <w:szCs w:val="25"/>
                <w:lang w:bidi="en-US"/>
              </w:rPr>
              <w:t xml:space="preserve">The number of votes the persons included in the list of persons having the right to participate in the Meeting were entitled to with regard to the Meeting </w:t>
            </w:r>
            <w:r w:rsidR="006E167F" w:rsidRPr="00B51B72">
              <w:rPr>
                <w:sz w:val="25"/>
                <w:szCs w:val="25"/>
                <w:lang w:bidi="en-US"/>
              </w:rPr>
              <w:t>Agenda</w:t>
            </w:r>
            <w:r w:rsidRPr="00B51B72">
              <w:rPr>
                <w:sz w:val="25"/>
                <w:szCs w:val="25"/>
                <w:lang w:bidi="en-US"/>
              </w:rPr>
              <w:t xml:space="preserve"> Issue No</w:t>
            </w:r>
            <w:r w:rsidR="006E167F">
              <w:rPr>
                <w:sz w:val="25"/>
                <w:szCs w:val="25"/>
                <w:lang w:bidi="en-US"/>
              </w:rPr>
              <w:t>.</w:t>
            </w:r>
            <w:r w:rsidRPr="00B51B72">
              <w:rPr>
                <w:sz w:val="25"/>
                <w:szCs w:val="25"/>
                <w:lang w:bidi="en-US"/>
              </w:rPr>
              <w:t xml:space="preserve"> 1 was </w:t>
            </w:r>
            <w:r w:rsidRPr="00B51B72">
              <w:rPr>
                <w:b/>
                <w:sz w:val="25"/>
                <w:szCs w:val="25"/>
                <w:lang w:bidi="en-US"/>
              </w:rPr>
              <w:t>95</w:t>
            </w:r>
            <w:r w:rsidR="005C6587">
              <w:rPr>
                <w:b/>
                <w:sz w:val="25"/>
                <w:szCs w:val="25"/>
                <w:lang w:bidi="en-US"/>
              </w:rPr>
              <w:t>,</w:t>
            </w:r>
            <w:r w:rsidRPr="00B51B72">
              <w:rPr>
                <w:b/>
                <w:sz w:val="25"/>
                <w:szCs w:val="25"/>
                <w:lang w:bidi="en-US"/>
              </w:rPr>
              <w:t>785</w:t>
            </w:r>
            <w:r w:rsidR="005C6587">
              <w:rPr>
                <w:b/>
                <w:sz w:val="25"/>
                <w:szCs w:val="25"/>
                <w:lang w:bidi="en-US"/>
              </w:rPr>
              <w:t>,</w:t>
            </w:r>
            <w:r w:rsidRPr="00B51B72">
              <w:rPr>
                <w:b/>
                <w:sz w:val="25"/>
                <w:szCs w:val="25"/>
                <w:lang w:bidi="en-US"/>
              </w:rPr>
              <w:t>923</w:t>
            </w:r>
            <w:r w:rsidR="005C6587">
              <w:rPr>
                <w:b/>
                <w:sz w:val="25"/>
                <w:szCs w:val="25"/>
                <w:lang w:bidi="en-US"/>
              </w:rPr>
              <w:t>,</w:t>
            </w:r>
            <w:r w:rsidRPr="00B51B72">
              <w:rPr>
                <w:b/>
                <w:sz w:val="25"/>
                <w:szCs w:val="25"/>
                <w:lang w:bidi="en-US"/>
              </w:rPr>
              <w:t>138.</w:t>
            </w:r>
          </w:p>
          <w:p w:rsidR="004E6B12" w:rsidRPr="00B51B72" w:rsidRDefault="004E6B12" w:rsidP="004E6B12">
            <w:pPr>
              <w:widowControl w:val="0"/>
              <w:autoSpaceDE/>
              <w:autoSpaceDN/>
              <w:ind w:left="57" w:right="57"/>
              <w:contextualSpacing/>
              <w:jc w:val="both"/>
              <w:rPr>
                <w:b/>
                <w:bCs/>
                <w:sz w:val="25"/>
                <w:szCs w:val="25"/>
              </w:rPr>
            </w:pPr>
            <w:r w:rsidRPr="00B51B72">
              <w:rPr>
                <w:sz w:val="25"/>
                <w:szCs w:val="25"/>
                <w:lang w:bidi="en-US"/>
              </w:rPr>
              <w:t>The number of votes attributable to the Company's voting shares on issue No.</w:t>
            </w:r>
            <w:r w:rsidR="006E167F">
              <w:rPr>
                <w:sz w:val="25"/>
                <w:szCs w:val="25"/>
                <w:lang w:bidi="en-US"/>
              </w:rPr>
              <w:t xml:space="preserve"> </w:t>
            </w:r>
            <w:r w:rsidRPr="00B51B72">
              <w:rPr>
                <w:sz w:val="25"/>
                <w:szCs w:val="25"/>
                <w:lang w:bidi="en-US"/>
              </w:rPr>
              <w:t xml:space="preserve">1 of the Meeting </w:t>
            </w:r>
            <w:r w:rsidR="005C6587" w:rsidRPr="00B51B72">
              <w:rPr>
                <w:sz w:val="25"/>
                <w:szCs w:val="25"/>
                <w:lang w:bidi="en-US"/>
              </w:rPr>
              <w:t>Agenda</w:t>
            </w:r>
            <w:r w:rsidRPr="00B51B72">
              <w:rPr>
                <w:sz w:val="25"/>
                <w:szCs w:val="25"/>
                <w:lang w:bidi="en-US"/>
              </w:rPr>
              <w:t xml:space="preserve">, determined taking into account the provisions of clause 4.24 of the Regulation on General Meetings of Shareholders approved by the Bank of Russia </w:t>
            </w:r>
            <w:r w:rsidR="00E43069">
              <w:rPr>
                <w:sz w:val="25"/>
                <w:szCs w:val="25"/>
                <w:lang w:bidi="en-US"/>
              </w:rPr>
              <w:t>dated</w:t>
            </w:r>
            <w:r w:rsidRPr="00B51B72">
              <w:rPr>
                <w:sz w:val="25"/>
                <w:szCs w:val="25"/>
                <w:lang w:bidi="en-US"/>
              </w:rPr>
              <w:t xml:space="preserve"> 16</w:t>
            </w:r>
            <w:r w:rsidR="005C6587">
              <w:rPr>
                <w:sz w:val="25"/>
                <w:szCs w:val="25"/>
                <w:lang w:bidi="en-US"/>
              </w:rPr>
              <w:t>.11.</w:t>
            </w:r>
            <w:r w:rsidRPr="00B51B72">
              <w:rPr>
                <w:sz w:val="25"/>
                <w:szCs w:val="25"/>
                <w:lang w:bidi="en-US"/>
              </w:rPr>
              <w:t>2018 No. 660-P (hereinafter referred to as the Regulation)</w:t>
            </w:r>
            <w:r w:rsidR="005C6587">
              <w:rPr>
                <w:sz w:val="25"/>
                <w:szCs w:val="25"/>
                <w:lang w:bidi="en-US"/>
              </w:rPr>
              <w:t xml:space="preserve"> – </w:t>
            </w:r>
            <w:r w:rsidRPr="00B51B72">
              <w:rPr>
                <w:b/>
                <w:sz w:val="25"/>
                <w:szCs w:val="25"/>
                <w:lang w:bidi="en-US"/>
              </w:rPr>
              <w:t>95</w:t>
            </w:r>
            <w:r w:rsidR="005C6587">
              <w:rPr>
                <w:b/>
                <w:sz w:val="25"/>
                <w:szCs w:val="25"/>
                <w:lang w:bidi="en-US"/>
              </w:rPr>
              <w:t>,</w:t>
            </w:r>
            <w:r w:rsidRPr="00B51B72">
              <w:rPr>
                <w:b/>
                <w:sz w:val="25"/>
                <w:szCs w:val="25"/>
                <w:lang w:bidi="en-US"/>
              </w:rPr>
              <w:t>785</w:t>
            </w:r>
            <w:r w:rsidR="005C6587">
              <w:rPr>
                <w:b/>
                <w:sz w:val="25"/>
                <w:szCs w:val="25"/>
                <w:lang w:bidi="en-US"/>
              </w:rPr>
              <w:t>,</w:t>
            </w:r>
            <w:r w:rsidRPr="00B51B72">
              <w:rPr>
                <w:b/>
                <w:sz w:val="25"/>
                <w:szCs w:val="25"/>
                <w:lang w:bidi="en-US"/>
              </w:rPr>
              <w:t>923</w:t>
            </w:r>
            <w:r w:rsidR="005C6587">
              <w:rPr>
                <w:b/>
                <w:sz w:val="25"/>
                <w:szCs w:val="25"/>
                <w:lang w:bidi="en-US"/>
              </w:rPr>
              <w:t>,</w:t>
            </w:r>
            <w:r w:rsidRPr="00B51B72">
              <w:rPr>
                <w:b/>
                <w:sz w:val="25"/>
                <w:szCs w:val="25"/>
                <w:lang w:bidi="en-US"/>
              </w:rPr>
              <w:t>138.</w:t>
            </w:r>
          </w:p>
          <w:p w:rsidR="0064471D" w:rsidRDefault="004E6B12" w:rsidP="004E6B12">
            <w:pPr>
              <w:widowControl w:val="0"/>
              <w:autoSpaceDE/>
              <w:autoSpaceDN/>
              <w:ind w:left="57" w:right="57"/>
              <w:contextualSpacing/>
              <w:jc w:val="both"/>
              <w:rPr>
                <w:sz w:val="25"/>
                <w:szCs w:val="25"/>
                <w:lang w:bidi="en-US"/>
              </w:rPr>
            </w:pPr>
            <w:r w:rsidRPr="00B51B72">
              <w:rPr>
                <w:sz w:val="25"/>
                <w:szCs w:val="25"/>
                <w:lang w:bidi="en-US"/>
              </w:rPr>
              <w:t>The number of votes the persons having participated in the Meeting were entitled to</w:t>
            </w:r>
          </w:p>
          <w:p w:rsidR="004E6B12" w:rsidRPr="00B51B72" w:rsidRDefault="004E6B12" w:rsidP="004E6B12">
            <w:pPr>
              <w:widowControl w:val="0"/>
              <w:autoSpaceDE/>
              <w:autoSpaceDN/>
              <w:ind w:left="57" w:right="57"/>
              <w:contextualSpacing/>
              <w:jc w:val="both"/>
              <w:rPr>
                <w:bCs/>
                <w:sz w:val="25"/>
                <w:szCs w:val="25"/>
              </w:rPr>
            </w:pPr>
            <w:r w:rsidRPr="00B51B72">
              <w:rPr>
                <w:sz w:val="25"/>
                <w:szCs w:val="25"/>
                <w:lang w:bidi="en-US"/>
              </w:rPr>
              <w:t>regarding issue No</w:t>
            </w:r>
            <w:r w:rsidR="006E167F">
              <w:rPr>
                <w:sz w:val="25"/>
                <w:szCs w:val="25"/>
                <w:lang w:bidi="en-US"/>
              </w:rPr>
              <w:t>.</w:t>
            </w:r>
            <w:r w:rsidRPr="00B51B72">
              <w:rPr>
                <w:sz w:val="25"/>
                <w:szCs w:val="25"/>
                <w:lang w:bidi="en-US"/>
              </w:rPr>
              <w:t xml:space="preserve"> 1 of the Meeting Agenda – </w:t>
            </w:r>
            <w:r w:rsidRPr="00B51B72">
              <w:rPr>
                <w:b/>
                <w:sz w:val="25"/>
                <w:szCs w:val="25"/>
                <w:lang w:bidi="en-US"/>
              </w:rPr>
              <w:t>62</w:t>
            </w:r>
            <w:r w:rsidR="005C6587">
              <w:rPr>
                <w:b/>
                <w:sz w:val="25"/>
                <w:szCs w:val="25"/>
                <w:lang w:bidi="en-US"/>
              </w:rPr>
              <w:t>,</w:t>
            </w:r>
            <w:r w:rsidRPr="00B51B72">
              <w:rPr>
                <w:b/>
                <w:sz w:val="25"/>
                <w:szCs w:val="25"/>
                <w:lang w:bidi="en-US"/>
              </w:rPr>
              <w:t>405</w:t>
            </w:r>
            <w:r w:rsidR="005C6587">
              <w:rPr>
                <w:b/>
                <w:sz w:val="25"/>
                <w:szCs w:val="25"/>
                <w:lang w:bidi="en-US"/>
              </w:rPr>
              <w:t>,</w:t>
            </w:r>
            <w:r w:rsidRPr="00B51B72">
              <w:rPr>
                <w:b/>
                <w:sz w:val="25"/>
                <w:szCs w:val="25"/>
                <w:lang w:bidi="en-US"/>
              </w:rPr>
              <w:t>578</w:t>
            </w:r>
            <w:r w:rsidR="005C6587">
              <w:rPr>
                <w:b/>
                <w:sz w:val="25"/>
                <w:szCs w:val="25"/>
                <w:lang w:bidi="en-US"/>
              </w:rPr>
              <w:t>,</w:t>
            </w:r>
            <w:r w:rsidRPr="00B51B72">
              <w:rPr>
                <w:b/>
                <w:sz w:val="25"/>
                <w:szCs w:val="25"/>
                <w:lang w:bidi="en-US"/>
              </w:rPr>
              <w:t>900.</w:t>
            </w:r>
          </w:p>
          <w:p w:rsidR="0064471D" w:rsidRDefault="005B1F00" w:rsidP="004E6B12">
            <w:pPr>
              <w:widowControl w:val="0"/>
              <w:autoSpaceDE/>
              <w:autoSpaceDN/>
              <w:ind w:left="57" w:right="57"/>
              <w:contextualSpacing/>
              <w:jc w:val="both"/>
              <w:rPr>
                <w:b/>
                <w:sz w:val="25"/>
                <w:szCs w:val="25"/>
                <w:lang w:bidi="en-US"/>
              </w:rPr>
            </w:pPr>
            <w:r w:rsidRPr="00B51B72">
              <w:rPr>
                <w:sz w:val="25"/>
                <w:szCs w:val="25"/>
                <w:lang w:bidi="en-US"/>
              </w:rPr>
              <w:t xml:space="preserve">The quorum was </w:t>
            </w:r>
            <w:r w:rsidRPr="00B51B72">
              <w:rPr>
                <w:b/>
                <w:sz w:val="25"/>
                <w:szCs w:val="25"/>
                <w:lang w:bidi="en-US"/>
              </w:rPr>
              <w:t>65</w:t>
            </w:r>
            <w:r w:rsidR="005C6587">
              <w:rPr>
                <w:b/>
                <w:sz w:val="25"/>
                <w:szCs w:val="25"/>
                <w:lang w:bidi="en-US"/>
              </w:rPr>
              <w:t>.</w:t>
            </w:r>
            <w:r w:rsidRPr="00B51B72">
              <w:rPr>
                <w:b/>
                <w:sz w:val="25"/>
                <w:szCs w:val="25"/>
                <w:lang w:bidi="en-US"/>
              </w:rPr>
              <w:t>1511%</w:t>
            </w:r>
            <w:r w:rsidRPr="00B51B72">
              <w:rPr>
                <w:sz w:val="25"/>
                <w:szCs w:val="25"/>
                <w:lang w:bidi="en-US"/>
              </w:rPr>
              <w:t>.</w:t>
            </w:r>
          </w:p>
          <w:p w:rsidR="004E6B12" w:rsidRPr="00B51B72" w:rsidRDefault="005B1F00" w:rsidP="004E6B12">
            <w:pPr>
              <w:widowControl w:val="0"/>
              <w:autoSpaceDE/>
              <w:autoSpaceDN/>
              <w:ind w:left="57" w:right="57"/>
              <w:contextualSpacing/>
              <w:jc w:val="both"/>
              <w:rPr>
                <w:bCs/>
                <w:sz w:val="25"/>
                <w:szCs w:val="25"/>
              </w:rPr>
            </w:pPr>
            <w:r w:rsidRPr="00B51B72">
              <w:rPr>
                <w:sz w:val="25"/>
                <w:szCs w:val="25"/>
                <w:lang w:bidi="en-US"/>
              </w:rPr>
              <w:t xml:space="preserve">Quorum with regard to the Meeting </w:t>
            </w:r>
            <w:r w:rsidR="006E167F" w:rsidRPr="00B51B72">
              <w:rPr>
                <w:sz w:val="25"/>
                <w:szCs w:val="25"/>
                <w:lang w:bidi="en-US"/>
              </w:rPr>
              <w:t>Agenda</w:t>
            </w:r>
            <w:r w:rsidRPr="00B51B72">
              <w:rPr>
                <w:sz w:val="25"/>
                <w:szCs w:val="25"/>
                <w:lang w:bidi="en-US"/>
              </w:rPr>
              <w:t xml:space="preserve"> Issue No. 1 was present.</w:t>
            </w:r>
          </w:p>
          <w:p w:rsidR="00CB0FC1" w:rsidRPr="00B32721" w:rsidRDefault="00CB0FC1" w:rsidP="005B1F00">
            <w:pPr>
              <w:widowControl w:val="0"/>
              <w:autoSpaceDE/>
              <w:autoSpaceDN/>
              <w:ind w:right="57"/>
              <w:contextualSpacing/>
              <w:jc w:val="both"/>
              <w:rPr>
                <w:bCs/>
                <w:sz w:val="25"/>
                <w:szCs w:val="25"/>
              </w:rPr>
            </w:pPr>
          </w:p>
          <w:p w:rsidR="0064471D" w:rsidRDefault="009F1A53" w:rsidP="003F0D13">
            <w:pPr>
              <w:widowControl w:val="0"/>
              <w:autoSpaceDE/>
              <w:autoSpaceDN/>
              <w:ind w:left="57" w:right="57"/>
              <w:contextualSpacing/>
              <w:jc w:val="both"/>
              <w:rPr>
                <w:sz w:val="25"/>
                <w:szCs w:val="25"/>
                <w:lang w:bidi="en-US"/>
              </w:rPr>
            </w:pPr>
            <w:r w:rsidRPr="00B32721">
              <w:rPr>
                <w:sz w:val="25"/>
                <w:szCs w:val="25"/>
                <w:lang w:bidi="en-US"/>
              </w:rPr>
              <w:t>2.5. Agenda of the general meeting of participants (shareholders) of the Issuer:</w:t>
            </w:r>
          </w:p>
          <w:p w:rsidR="00095B5D" w:rsidRPr="00B32721" w:rsidRDefault="00F10802" w:rsidP="00F10802">
            <w:pPr>
              <w:widowControl w:val="0"/>
              <w:autoSpaceDE/>
              <w:autoSpaceDN/>
              <w:ind w:left="57" w:right="57"/>
              <w:contextualSpacing/>
              <w:jc w:val="both"/>
              <w:rPr>
                <w:b/>
                <w:bCs/>
                <w:sz w:val="25"/>
                <w:szCs w:val="25"/>
              </w:rPr>
            </w:pPr>
            <w:r w:rsidRPr="00B32721">
              <w:rPr>
                <w:b/>
                <w:sz w:val="25"/>
                <w:szCs w:val="25"/>
                <w:lang w:bidi="en-US"/>
              </w:rPr>
              <w:t>1. On the amount of dividends, the timing and form of payment according to the results of 9 months of 2019 and the establishment of the date on which persons entitled to receive dividends shall be determined.</w:t>
            </w:r>
          </w:p>
          <w:p w:rsidR="002E09D3" w:rsidRPr="00B32721" w:rsidRDefault="009F1A53" w:rsidP="00E525D1">
            <w:pPr>
              <w:widowControl w:val="0"/>
              <w:autoSpaceDE/>
              <w:autoSpaceDN/>
              <w:ind w:left="57" w:right="57"/>
              <w:contextualSpacing/>
              <w:jc w:val="both"/>
              <w:rPr>
                <w:bCs/>
                <w:sz w:val="25"/>
                <w:szCs w:val="25"/>
              </w:rPr>
            </w:pPr>
            <w:r w:rsidRPr="00B32721">
              <w:rPr>
                <w:sz w:val="25"/>
                <w:szCs w:val="25"/>
                <w:lang w:bidi="en-US"/>
              </w:rPr>
              <w:lastRenderedPageBreak/>
              <w:t>2.6. Results of voting on the issues on the agenda of the general meeting of participants (shareholders) of the Issuer with regard whereto the required quorum was present and the wording of decisions taken by the general meeting of participants (shareholders) of the Issuer on the said issues.</w:t>
            </w:r>
          </w:p>
          <w:p w:rsidR="00E525D1" w:rsidRPr="00B32721" w:rsidRDefault="00E525D1" w:rsidP="00E525D1">
            <w:pPr>
              <w:widowControl w:val="0"/>
              <w:autoSpaceDE/>
              <w:autoSpaceDN/>
              <w:ind w:left="57" w:right="57"/>
              <w:contextualSpacing/>
              <w:jc w:val="both"/>
              <w:rPr>
                <w:bCs/>
                <w:sz w:val="25"/>
                <w:szCs w:val="25"/>
              </w:rPr>
            </w:pPr>
          </w:p>
          <w:p w:rsidR="00BE2481" w:rsidRPr="00B32721" w:rsidRDefault="00BE2481" w:rsidP="00BE2481">
            <w:pPr>
              <w:adjustRightInd w:val="0"/>
              <w:ind w:left="137" w:right="57"/>
              <w:outlineLvl w:val="2"/>
              <w:rPr>
                <w:sz w:val="25"/>
                <w:szCs w:val="25"/>
                <w:u w:val="single"/>
              </w:rPr>
            </w:pPr>
            <w:r w:rsidRPr="00B32721">
              <w:rPr>
                <w:b/>
                <w:sz w:val="25"/>
                <w:szCs w:val="25"/>
                <w:u w:val="single"/>
                <w:lang w:bidi="en-US"/>
              </w:rPr>
              <w:t>ON ISSUE No. 1 ON THE AGENDA:</w:t>
            </w:r>
          </w:p>
          <w:p w:rsidR="005B1F00" w:rsidRPr="00B32721" w:rsidRDefault="005B1F00" w:rsidP="005B1F00">
            <w:pPr>
              <w:adjustRightInd w:val="0"/>
              <w:ind w:left="137"/>
              <w:contextualSpacing/>
              <w:jc w:val="both"/>
              <w:rPr>
                <w:rFonts w:ascii="TimesNewRomanPS-BoldItalicMT" w:hAnsi="TimesNewRomanPS-BoldItalicMT" w:cs="TimesNewRomanPS-BoldItalicMT"/>
                <w:b/>
                <w:bCs/>
                <w:iCs/>
                <w:sz w:val="25"/>
                <w:szCs w:val="25"/>
              </w:rPr>
            </w:pPr>
            <w:r w:rsidRPr="00B32721">
              <w:rPr>
                <w:b/>
                <w:sz w:val="25"/>
                <w:szCs w:val="25"/>
                <w:lang w:bidi="en-US"/>
              </w:rPr>
              <w:t>Voting results: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3402"/>
              <w:gridCol w:w="3202"/>
            </w:tblGrid>
            <w:tr w:rsidR="005B1F00" w:rsidRPr="00B32721" w:rsidTr="005B1F00">
              <w:tc>
                <w:tcPr>
                  <w:tcW w:w="2948" w:type="dxa"/>
                  <w:vAlign w:val="center"/>
                </w:tcPr>
                <w:p w:rsidR="005B1F00" w:rsidRPr="00B32721" w:rsidRDefault="005B1F00" w:rsidP="0064471D">
                  <w:pPr>
                    <w:widowControl w:val="0"/>
                    <w:jc w:val="center"/>
                    <w:rPr>
                      <w:sz w:val="25"/>
                      <w:szCs w:val="25"/>
                    </w:rPr>
                  </w:pPr>
                  <w:r w:rsidRPr="00B32721">
                    <w:rPr>
                      <w:sz w:val="25"/>
                      <w:szCs w:val="25"/>
                      <w:lang w:bidi="en-US"/>
                    </w:rPr>
                    <w:t>Option of</w:t>
                  </w:r>
                  <w:r w:rsidR="0064471D">
                    <w:rPr>
                      <w:sz w:val="25"/>
                      <w:szCs w:val="25"/>
                      <w:lang w:bidi="en-US"/>
                    </w:rPr>
                    <w:br/>
                  </w:r>
                  <w:r w:rsidRPr="00B32721">
                    <w:rPr>
                      <w:sz w:val="25"/>
                      <w:szCs w:val="25"/>
                      <w:lang w:bidi="en-US"/>
                    </w:rPr>
                    <w:t>voting</w:t>
                  </w:r>
                </w:p>
              </w:tc>
              <w:tc>
                <w:tcPr>
                  <w:tcW w:w="3402" w:type="dxa"/>
                  <w:vAlign w:val="center"/>
                </w:tcPr>
                <w:p w:rsidR="005B1F00" w:rsidRPr="00B32721" w:rsidRDefault="005B1F00" w:rsidP="00956A60">
                  <w:pPr>
                    <w:widowControl w:val="0"/>
                    <w:jc w:val="center"/>
                    <w:rPr>
                      <w:sz w:val="25"/>
                      <w:szCs w:val="25"/>
                    </w:rPr>
                  </w:pPr>
                  <w:r w:rsidRPr="00B32721">
                    <w:rPr>
                      <w:sz w:val="25"/>
                      <w:szCs w:val="25"/>
                      <w:lang w:bidi="en-US"/>
                    </w:rPr>
                    <w:t>Number of votes cast for each of the voting options</w:t>
                  </w:r>
                </w:p>
              </w:tc>
              <w:tc>
                <w:tcPr>
                  <w:tcW w:w="3202" w:type="dxa"/>
                  <w:vAlign w:val="center"/>
                </w:tcPr>
                <w:p w:rsidR="005B1F00" w:rsidRPr="00B32721" w:rsidRDefault="005B1F00" w:rsidP="0064471D">
                  <w:pPr>
                    <w:widowControl w:val="0"/>
                    <w:jc w:val="center"/>
                    <w:rPr>
                      <w:sz w:val="25"/>
                      <w:szCs w:val="25"/>
                    </w:rPr>
                  </w:pPr>
                  <w:r w:rsidRPr="00B32721">
                    <w:rPr>
                      <w:sz w:val="25"/>
                      <w:szCs w:val="25"/>
                      <w:lang w:bidi="en-US"/>
                    </w:rPr>
                    <w:t>Percentage</w:t>
                  </w:r>
                  <w:r w:rsidR="0064471D">
                    <w:rPr>
                      <w:sz w:val="25"/>
                      <w:szCs w:val="25"/>
                      <w:lang w:bidi="en-US"/>
                    </w:rPr>
                    <w:br/>
                  </w:r>
                  <w:r w:rsidRPr="00B32721">
                    <w:rPr>
                      <w:sz w:val="25"/>
                      <w:szCs w:val="25"/>
                      <w:lang w:bidi="en-US"/>
                    </w:rPr>
                    <w:t>of the Meeting participants</w:t>
                  </w:r>
                  <w:r w:rsidR="0064471D">
                    <w:rPr>
                      <w:sz w:val="25"/>
                      <w:szCs w:val="25"/>
                      <w:lang w:bidi="en-US"/>
                    </w:rPr>
                    <w:br/>
                  </w:r>
                  <w:r w:rsidRPr="00B32721">
                    <w:rPr>
                      <w:sz w:val="25"/>
                      <w:szCs w:val="25"/>
                      <w:lang w:bidi="en-US"/>
                    </w:rPr>
                    <w:t xml:space="preserve">in the Meeting. </w:t>
                  </w:r>
                </w:p>
              </w:tc>
            </w:tr>
            <w:tr w:rsidR="005B1F00" w:rsidRPr="00B32721" w:rsidTr="005B1F00">
              <w:tc>
                <w:tcPr>
                  <w:tcW w:w="2948" w:type="dxa"/>
                </w:tcPr>
                <w:p w:rsidR="005B1F00" w:rsidRPr="00B32721" w:rsidRDefault="006E167F" w:rsidP="00956A60">
                  <w:pPr>
                    <w:widowControl w:val="0"/>
                    <w:jc w:val="both"/>
                    <w:rPr>
                      <w:b/>
                      <w:sz w:val="25"/>
                      <w:szCs w:val="25"/>
                    </w:rPr>
                  </w:pPr>
                  <w:r>
                    <w:rPr>
                      <w:b/>
                      <w:sz w:val="25"/>
                      <w:szCs w:val="25"/>
                      <w:lang w:bidi="en-US"/>
                    </w:rPr>
                    <w:t>“</w:t>
                  </w:r>
                  <w:r w:rsidR="005B1F00" w:rsidRPr="00B32721">
                    <w:rPr>
                      <w:b/>
                      <w:sz w:val="25"/>
                      <w:szCs w:val="25"/>
                      <w:lang w:bidi="en-US"/>
                    </w:rPr>
                    <w:t>AYE</w:t>
                  </w:r>
                  <w:r>
                    <w:rPr>
                      <w:b/>
                      <w:sz w:val="25"/>
                      <w:szCs w:val="25"/>
                      <w:lang w:bidi="en-US"/>
                    </w:rPr>
                    <w:t>”</w:t>
                  </w:r>
                </w:p>
              </w:tc>
              <w:tc>
                <w:tcPr>
                  <w:tcW w:w="3402" w:type="dxa"/>
                  <w:shd w:val="clear" w:color="auto" w:fill="auto"/>
                </w:tcPr>
                <w:p w:rsidR="005B1F00" w:rsidRPr="00B32721" w:rsidRDefault="005B1F00" w:rsidP="005C6587">
                  <w:pPr>
                    <w:keepNext/>
                    <w:keepLines/>
                    <w:jc w:val="right"/>
                    <w:rPr>
                      <w:b/>
                      <w:sz w:val="25"/>
                      <w:szCs w:val="25"/>
                    </w:rPr>
                  </w:pPr>
                  <w:r w:rsidRPr="00B32721">
                    <w:rPr>
                      <w:b/>
                      <w:sz w:val="25"/>
                      <w:szCs w:val="25"/>
                      <w:lang w:bidi="en-US"/>
                    </w:rPr>
                    <w:t>62</w:t>
                  </w:r>
                  <w:r w:rsidR="005C6587">
                    <w:rPr>
                      <w:b/>
                      <w:sz w:val="25"/>
                      <w:szCs w:val="25"/>
                      <w:lang w:bidi="en-US"/>
                    </w:rPr>
                    <w:t>,</w:t>
                  </w:r>
                  <w:r w:rsidRPr="00B32721">
                    <w:rPr>
                      <w:b/>
                      <w:sz w:val="25"/>
                      <w:szCs w:val="25"/>
                      <w:lang w:bidi="en-US"/>
                    </w:rPr>
                    <w:t>397</w:t>
                  </w:r>
                  <w:r w:rsidR="005C6587">
                    <w:rPr>
                      <w:b/>
                      <w:sz w:val="25"/>
                      <w:szCs w:val="25"/>
                      <w:lang w:bidi="en-US"/>
                    </w:rPr>
                    <w:t>,</w:t>
                  </w:r>
                  <w:r w:rsidRPr="00B32721">
                    <w:rPr>
                      <w:b/>
                      <w:sz w:val="25"/>
                      <w:szCs w:val="25"/>
                      <w:lang w:bidi="en-US"/>
                    </w:rPr>
                    <w:t>165</w:t>
                  </w:r>
                  <w:r w:rsidR="005C6587">
                    <w:rPr>
                      <w:b/>
                      <w:sz w:val="25"/>
                      <w:szCs w:val="25"/>
                      <w:lang w:bidi="en-US"/>
                    </w:rPr>
                    <w:t>,</w:t>
                  </w:r>
                  <w:r w:rsidRPr="00B32721">
                    <w:rPr>
                      <w:b/>
                      <w:sz w:val="25"/>
                      <w:szCs w:val="25"/>
                      <w:lang w:bidi="en-US"/>
                    </w:rPr>
                    <w:t xml:space="preserve">960 </w:t>
                  </w:r>
                </w:p>
              </w:tc>
              <w:tc>
                <w:tcPr>
                  <w:tcW w:w="3202" w:type="dxa"/>
                  <w:shd w:val="clear" w:color="auto" w:fill="auto"/>
                </w:tcPr>
                <w:p w:rsidR="005B1F00" w:rsidRPr="00B32721" w:rsidRDefault="005B1F00" w:rsidP="005C6587">
                  <w:pPr>
                    <w:keepNext/>
                    <w:keepLines/>
                    <w:jc w:val="right"/>
                    <w:rPr>
                      <w:b/>
                      <w:sz w:val="25"/>
                      <w:szCs w:val="25"/>
                    </w:rPr>
                  </w:pPr>
                  <w:r w:rsidRPr="00B32721">
                    <w:rPr>
                      <w:b/>
                      <w:sz w:val="25"/>
                      <w:szCs w:val="25"/>
                      <w:lang w:bidi="en-US"/>
                    </w:rPr>
                    <w:t>99</w:t>
                  </w:r>
                  <w:r w:rsidR="005C6587">
                    <w:rPr>
                      <w:b/>
                      <w:sz w:val="25"/>
                      <w:szCs w:val="25"/>
                      <w:lang w:bidi="en-US"/>
                    </w:rPr>
                    <w:t>.</w:t>
                  </w:r>
                  <w:r w:rsidRPr="00B32721">
                    <w:rPr>
                      <w:b/>
                      <w:sz w:val="25"/>
                      <w:szCs w:val="25"/>
                      <w:lang w:bidi="en-US"/>
                    </w:rPr>
                    <w:t xml:space="preserve">9865 </w:t>
                  </w:r>
                </w:p>
              </w:tc>
            </w:tr>
            <w:tr w:rsidR="005B1F00" w:rsidRPr="00B32721" w:rsidTr="005B1F00">
              <w:tc>
                <w:tcPr>
                  <w:tcW w:w="2948" w:type="dxa"/>
                </w:tcPr>
                <w:p w:rsidR="005B1F00" w:rsidRPr="00B32721" w:rsidRDefault="006E167F" w:rsidP="00956A60">
                  <w:pPr>
                    <w:widowControl w:val="0"/>
                    <w:jc w:val="both"/>
                    <w:rPr>
                      <w:sz w:val="25"/>
                      <w:szCs w:val="25"/>
                    </w:rPr>
                  </w:pPr>
                  <w:r>
                    <w:rPr>
                      <w:sz w:val="25"/>
                      <w:szCs w:val="25"/>
                      <w:lang w:bidi="en-US"/>
                    </w:rPr>
                    <w:t>“</w:t>
                  </w:r>
                  <w:r w:rsidR="005B1F00" w:rsidRPr="00B32721">
                    <w:rPr>
                      <w:sz w:val="25"/>
                      <w:szCs w:val="25"/>
                      <w:lang w:bidi="en-US"/>
                    </w:rPr>
                    <w:t>Against</w:t>
                  </w:r>
                  <w:r>
                    <w:rPr>
                      <w:sz w:val="25"/>
                      <w:szCs w:val="25"/>
                      <w:lang w:bidi="en-US"/>
                    </w:rPr>
                    <w:t>”</w:t>
                  </w:r>
                </w:p>
              </w:tc>
              <w:tc>
                <w:tcPr>
                  <w:tcW w:w="3402" w:type="dxa"/>
                  <w:shd w:val="clear" w:color="auto" w:fill="auto"/>
                </w:tcPr>
                <w:p w:rsidR="005B1F00" w:rsidRPr="00B32721" w:rsidRDefault="005B1F00" w:rsidP="005C6587">
                  <w:pPr>
                    <w:keepNext/>
                    <w:keepLines/>
                    <w:jc w:val="right"/>
                    <w:rPr>
                      <w:sz w:val="25"/>
                      <w:szCs w:val="25"/>
                    </w:rPr>
                  </w:pPr>
                  <w:r w:rsidRPr="00B32721">
                    <w:rPr>
                      <w:sz w:val="25"/>
                      <w:szCs w:val="25"/>
                      <w:lang w:bidi="en-US"/>
                    </w:rPr>
                    <w:t>16</w:t>
                  </w:r>
                  <w:r w:rsidR="005C6587">
                    <w:rPr>
                      <w:sz w:val="25"/>
                      <w:szCs w:val="25"/>
                      <w:lang w:bidi="en-US"/>
                    </w:rPr>
                    <w:t>,</w:t>
                  </w:r>
                  <w:r w:rsidRPr="00B32721">
                    <w:rPr>
                      <w:sz w:val="25"/>
                      <w:szCs w:val="25"/>
                      <w:lang w:bidi="en-US"/>
                    </w:rPr>
                    <w:t xml:space="preserve">050 </w:t>
                  </w:r>
                </w:p>
              </w:tc>
              <w:tc>
                <w:tcPr>
                  <w:tcW w:w="3202" w:type="dxa"/>
                  <w:shd w:val="clear" w:color="auto" w:fill="auto"/>
                </w:tcPr>
                <w:p w:rsidR="005B1F00" w:rsidRPr="00B32721" w:rsidRDefault="005B1F00" w:rsidP="005C6587">
                  <w:pPr>
                    <w:keepNext/>
                    <w:keepLines/>
                    <w:jc w:val="right"/>
                    <w:rPr>
                      <w:sz w:val="25"/>
                      <w:szCs w:val="25"/>
                    </w:rPr>
                  </w:pPr>
                  <w:r w:rsidRPr="00B32721">
                    <w:rPr>
                      <w:sz w:val="25"/>
                      <w:szCs w:val="25"/>
                      <w:lang w:bidi="en-US"/>
                    </w:rPr>
                    <w:t>0</w:t>
                  </w:r>
                  <w:r w:rsidR="005C6587">
                    <w:rPr>
                      <w:sz w:val="25"/>
                      <w:szCs w:val="25"/>
                      <w:lang w:bidi="en-US"/>
                    </w:rPr>
                    <w:t>.</w:t>
                  </w:r>
                  <w:r w:rsidRPr="00B32721">
                    <w:rPr>
                      <w:sz w:val="25"/>
                      <w:szCs w:val="25"/>
                      <w:lang w:bidi="en-US"/>
                    </w:rPr>
                    <w:t xml:space="preserve">00003 </w:t>
                  </w:r>
                </w:p>
              </w:tc>
            </w:tr>
            <w:tr w:rsidR="005B1F00" w:rsidRPr="00B32721" w:rsidTr="005B1F00">
              <w:tc>
                <w:tcPr>
                  <w:tcW w:w="2948" w:type="dxa"/>
                </w:tcPr>
                <w:p w:rsidR="005B1F00" w:rsidRPr="00B32721" w:rsidRDefault="006E167F" w:rsidP="00956A60">
                  <w:pPr>
                    <w:widowControl w:val="0"/>
                    <w:jc w:val="both"/>
                    <w:rPr>
                      <w:sz w:val="25"/>
                      <w:szCs w:val="25"/>
                    </w:rPr>
                  </w:pPr>
                  <w:r>
                    <w:rPr>
                      <w:sz w:val="25"/>
                      <w:szCs w:val="25"/>
                      <w:lang w:bidi="en-US"/>
                    </w:rPr>
                    <w:t>“</w:t>
                  </w:r>
                  <w:r w:rsidR="005B1F00" w:rsidRPr="00B32721">
                    <w:rPr>
                      <w:sz w:val="25"/>
                      <w:szCs w:val="25"/>
                      <w:lang w:bidi="en-US"/>
                    </w:rPr>
                    <w:t>Abstained</w:t>
                  </w:r>
                  <w:r>
                    <w:rPr>
                      <w:sz w:val="25"/>
                      <w:szCs w:val="25"/>
                      <w:lang w:bidi="en-US"/>
                    </w:rPr>
                    <w:t>”</w:t>
                  </w:r>
                </w:p>
              </w:tc>
              <w:tc>
                <w:tcPr>
                  <w:tcW w:w="3402" w:type="dxa"/>
                  <w:shd w:val="clear" w:color="auto" w:fill="auto"/>
                </w:tcPr>
                <w:p w:rsidR="005B1F00" w:rsidRPr="00B32721" w:rsidRDefault="005B1F00" w:rsidP="005C6587">
                  <w:pPr>
                    <w:keepNext/>
                    <w:keepLines/>
                    <w:jc w:val="right"/>
                    <w:rPr>
                      <w:sz w:val="25"/>
                      <w:szCs w:val="25"/>
                    </w:rPr>
                  </w:pPr>
                  <w:r w:rsidRPr="00B32721">
                    <w:rPr>
                      <w:sz w:val="25"/>
                      <w:szCs w:val="25"/>
                      <w:lang w:bidi="en-US"/>
                    </w:rPr>
                    <w:t>3</w:t>
                  </w:r>
                  <w:r w:rsidR="005C6587">
                    <w:rPr>
                      <w:sz w:val="25"/>
                      <w:szCs w:val="25"/>
                      <w:lang w:bidi="en-US"/>
                    </w:rPr>
                    <w:t>,</w:t>
                  </w:r>
                  <w:r w:rsidRPr="00B32721">
                    <w:rPr>
                      <w:sz w:val="25"/>
                      <w:szCs w:val="25"/>
                      <w:lang w:bidi="en-US"/>
                    </w:rPr>
                    <w:t>040</w:t>
                  </w:r>
                  <w:r w:rsidR="005C6587">
                    <w:rPr>
                      <w:sz w:val="25"/>
                      <w:szCs w:val="25"/>
                      <w:lang w:bidi="en-US"/>
                    </w:rPr>
                    <w:t>,</w:t>
                  </w:r>
                  <w:r w:rsidRPr="00B32721">
                    <w:rPr>
                      <w:sz w:val="25"/>
                      <w:szCs w:val="25"/>
                      <w:lang w:bidi="en-US"/>
                    </w:rPr>
                    <w:t xml:space="preserve">649 </w:t>
                  </w:r>
                </w:p>
              </w:tc>
              <w:tc>
                <w:tcPr>
                  <w:tcW w:w="3202" w:type="dxa"/>
                  <w:shd w:val="clear" w:color="auto" w:fill="auto"/>
                </w:tcPr>
                <w:p w:rsidR="005B1F00" w:rsidRPr="00B32721" w:rsidRDefault="005B1F00" w:rsidP="00956A60">
                  <w:pPr>
                    <w:keepNext/>
                    <w:keepLines/>
                    <w:jc w:val="right"/>
                    <w:rPr>
                      <w:sz w:val="25"/>
                      <w:szCs w:val="25"/>
                    </w:rPr>
                  </w:pPr>
                  <w:r w:rsidRPr="00B32721">
                    <w:rPr>
                      <w:sz w:val="25"/>
                      <w:szCs w:val="25"/>
                      <w:lang w:bidi="en-US"/>
                    </w:rPr>
                    <w:t xml:space="preserve">0.0049 </w:t>
                  </w:r>
                </w:p>
              </w:tc>
            </w:tr>
            <w:tr w:rsidR="005B1F00" w:rsidRPr="00B32721" w:rsidTr="005B1F00">
              <w:tc>
                <w:tcPr>
                  <w:tcW w:w="9552" w:type="dxa"/>
                  <w:gridSpan w:val="3"/>
                </w:tcPr>
                <w:p w:rsidR="005B1F00" w:rsidRPr="00B32721" w:rsidRDefault="005B1F00" w:rsidP="00956A60">
                  <w:pPr>
                    <w:widowControl w:val="0"/>
                    <w:ind w:right="175"/>
                    <w:rPr>
                      <w:sz w:val="25"/>
                      <w:szCs w:val="25"/>
                    </w:rPr>
                  </w:pPr>
                  <w:r w:rsidRPr="00B32721">
                    <w:rPr>
                      <w:sz w:val="25"/>
                      <w:szCs w:val="25"/>
                      <w:lang w:bidi="en-US"/>
                    </w:rPr>
                    <w:t>Number of voted untabulated due to invalidation of ballots or due to other reasons specified by the Regulation:</w:t>
                  </w:r>
                </w:p>
              </w:tc>
            </w:tr>
            <w:tr w:rsidR="005B1F00" w:rsidRPr="00B32721" w:rsidTr="005B1F00">
              <w:tc>
                <w:tcPr>
                  <w:tcW w:w="2948" w:type="dxa"/>
                </w:tcPr>
                <w:p w:rsidR="005B1F00" w:rsidRPr="00B32721" w:rsidRDefault="006E167F" w:rsidP="00956A60">
                  <w:pPr>
                    <w:widowControl w:val="0"/>
                    <w:jc w:val="both"/>
                    <w:rPr>
                      <w:sz w:val="25"/>
                      <w:szCs w:val="25"/>
                    </w:rPr>
                  </w:pPr>
                  <w:r>
                    <w:rPr>
                      <w:sz w:val="25"/>
                      <w:szCs w:val="25"/>
                      <w:lang w:bidi="en-US"/>
                    </w:rPr>
                    <w:t>“</w:t>
                  </w:r>
                  <w:r w:rsidR="005B1F00" w:rsidRPr="00B32721">
                    <w:rPr>
                      <w:sz w:val="25"/>
                      <w:szCs w:val="25"/>
                      <w:lang w:bidi="en-US"/>
                    </w:rPr>
                    <w:t>Invalid</w:t>
                  </w:r>
                  <w:r w:rsidRPr="006E167F">
                    <w:rPr>
                      <w:sz w:val="25"/>
                      <w:szCs w:val="25"/>
                      <w:lang w:bidi="en-US"/>
                    </w:rPr>
                    <w:t>”</w:t>
                  </w:r>
                </w:p>
              </w:tc>
              <w:tc>
                <w:tcPr>
                  <w:tcW w:w="3402" w:type="dxa"/>
                  <w:shd w:val="clear" w:color="auto" w:fill="auto"/>
                </w:tcPr>
                <w:p w:rsidR="005B1F00" w:rsidRPr="00B32721" w:rsidRDefault="005B1F00" w:rsidP="005C6587">
                  <w:pPr>
                    <w:keepNext/>
                    <w:keepLines/>
                    <w:jc w:val="right"/>
                    <w:rPr>
                      <w:sz w:val="25"/>
                      <w:szCs w:val="25"/>
                    </w:rPr>
                  </w:pPr>
                  <w:r w:rsidRPr="00B32721">
                    <w:rPr>
                      <w:sz w:val="25"/>
                      <w:szCs w:val="25"/>
                      <w:lang w:bidi="en-US"/>
                    </w:rPr>
                    <w:t>5</w:t>
                  </w:r>
                  <w:r w:rsidR="005C6587">
                    <w:rPr>
                      <w:sz w:val="25"/>
                      <w:szCs w:val="25"/>
                      <w:lang w:bidi="en-US"/>
                    </w:rPr>
                    <w:t>,</w:t>
                  </w:r>
                  <w:r w:rsidRPr="00B32721">
                    <w:rPr>
                      <w:sz w:val="25"/>
                      <w:szCs w:val="25"/>
                      <w:lang w:bidi="en-US"/>
                    </w:rPr>
                    <w:t>356</w:t>
                  </w:r>
                  <w:r w:rsidR="005C6587">
                    <w:rPr>
                      <w:sz w:val="25"/>
                      <w:szCs w:val="25"/>
                      <w:lang w:bidi="en-US"/>
                    </w:rPr>
                    <w:t>,</w:t>
                  </w:r>
                  <w:r w:rsidRPr="00B32721">
                    <w:rPr>
                      <w:sz w:val="25"/>
                      <w:szCs w:val="25"/>
                      <w:lang w:bidi="en-US"/>
                    </w:rPr>
                    <w:t xml:space="preserve">241 </w:t>
                  </w:r>
                </w:p>
              </w:tc>
              <w:tc>
                <w:tcPr>
                  <w:tcW w:w="3202" w:type="dxa"/>
                  <w:shd w:val="clear" w:color="auto" w:fill="auto"/>
                </w:tcPr>
                <w:p w:rsidR="005B1F00" w:rsidRPr="00B32721" w:rsidRDefault="005B1F00" w:rsidP="00956A60">
                  <w:pPr>
                    <w:keepNext/>
                    <w:keepLines/>
                    <w:jc w:val="right"/>
                    <w:rPr>
                      <w:sz w:val="25"/>
                      <w:szCs w:val="25"/>
                    </w:rPr>
                  </w:pPr>
                  <w:r w:rsidRPr="00B32721">
                    <w:rPr>
                      <w:sz w:val="25"/>
                      <w:szCs w:val="25"/>
                      <w:lang w:bidi="en-US"/>
                    </w:rPr>
                    <w:t xml:space="preserve">0.0086 </w:t>
                  </w:r>
                </w:p>
              </w:tc>
            </w:tr>
            <w:tr w:rsidR="005B1F00" w:rsidRPr="00B32721" w:rsidTr="005B1F00">
              <w:tc>
                <w:tcPr>
                  <w:tcW w:w="2948" w:type="dxa"/>
                </w:tcPr>
                <w:p w:rsidR="005B1F00" w:rsidRPr="00B32721" w:rsidRDefault="006E167F" w:rsidP="00956A60">
                  <w:pPr>
                    <w:widowControl w:val="0"/>
                    <w:jc w:val="both"/>
                    <w:rPr>
                      <w:sz w:val="25"/>
                      <w:szCs w:val="25"/>
                    </w:rPr>
                  </w:pPr>
                  <w:r>
                    <w:rPr>
                      <w:sz w:val="25"/>
                      <w:szCs w:val="25"/>
                      <w:lang w:bidi="en-US"/>
                    </w:rPr>
                    <w:t>“</w:t>
                  </w:r>
                  <w:r w:rsidR="005B1F00" w:rsidRPr="00B32721">
                    <w:rPr>
                      <w:sz w:val="25"/>
                      <w:szCs w:val="25"/>
                      <w:lang w:bidi="en-US"/>
                    </w:rPr>
                    <w:t>For other reasons</w:t>
                  </w:r>
                  <w:r>
                    <w:rPr>
                      <w:sz w:val="25"/>
                      <w:szCs w:val="25"/>
                      <w:lang w:bidi="en-US"/>
                    </w:rPr>
                    <w:t>”</w:t>
                  </w:r>
                </w:p>
              </w:tc>
              <w:tc>
                <w:tcPr>
                  <w:tcW w:w="3402" w:type="dxa"/>
                  <w:shd w:val="clear" w:color="auto" w:fill="auto"/>
                </w:tcPr>
                <w:p w:rsidR="005B1F00" w:rsidRPr="00B32721" w:rsidRDefault="005B1F00" w:rsidP="00956A60">
                  <w:pPr>
                    <w:keepNext/>
                    <w:keepLines/>
                    <w:jc w:val="right"/>
                    <w:rPr>
                      <w:sz w:val="25"/>
                      <w:szCs w:val="25"/>
                    </w:rPr>
                  </w:pPr>
                  <w:r w:rsidRPr="00B32721">
                    <w:rPr>
                      <w:sz w:val="25"/>
                      <w:szCs w:val="25"/>
                      <w:lang w:bidi="en-US"/>
                    </w:rPr>
                    <w:t xml:space="preserve">0 </w:t>
                  </w:r>
                </w:p>
              </w:tc>
              <w:tc>
                <w:tcPr>
                  <w:tcW w:w="3202" w:type="dxa"/>
                  <w:shd w:val="clear" w:color="auto" w:fill="auto"/>
                </w:tcPr>
                <w:p w:rsidR="005B1F00" w:rsidRPr="00B32721" w:rsidRDefault="005B1F00" w:rsidP="00956A60">
                  <w:pPr>
                    <w:keepNext/>
                    <w:keepLines/>
                    <w:jc w:val="right"/>
                    <w:rPr>
                      <w:sz w:val="25"/>
                      <w:szCs w:val="25"/>
                    </w:rPr>
                  </w:pPr>
                  <w:r w:rsidRPr="00B32721">
                    <w:rPr>
                      <w:sz w:val="25"/>
                      <w:szCs w:val="25"/>
                      <w:lang w:bidi="en-US"/>
                    </w:rPr>
                    <w:t xml:space="preserve">0.0000 </w:t>
                  </w:r>
                </w:p>
              </w:tc>
            </w:tr>
            <w:tr w:rsidR="005B1F00" w:rsidRPr="00B32721" w:rsidTr="005B1F00">
              <w:tc>
                <w:tcPr>
                  <w:tcW w:w="2948" w:type="dxa"/>
                </w:tcPr>
                <w:p w:rsidR="005B1F00" w:rsidRPr="00B32721" w:rsidRDefault="005B1F00" w:rsidP="00956A60">
                  <w:pPr>
                    <w:widowControl w:val="0"/>
                    <w:jc w:val="both"/>
                    <w:rPr>
                      <w:sz w:val="25"/>
                      <w:szCs w:val="25"/>
                    </w:rPr>
                  </w:pPr>
                  <w:r w:rsidRPr="00B32721">
                    <w:rPr>
                      <w:sz w:val="25"/>
                      <w:szCs w:val="25"/>
                      <w:lang w:bidi="en-US"/>
                    </w:rPr>
                    <w:t>TOTAL:</w:t>
                  </w:r>
                </w:p>
              </w:tc>
              <w:tc>
                <w:tcPr>
                  <w:tcW w:w="3402" w:type="dxa"/>
                  <w:shd w:val="clear" w:color="auto" w:fill="auto"/>
                </w:tcPr>
                <w:p w:rsidR="005B1F00" w:rsidRPr="00B32721" w:rsidRDefault="005B1F00" w:rsidP="005C6587">
                  <w:pPr>
                    <w:keepNext/>
                    <w:keepLines/>
                    <w:jc w:val="right"/>
                    <w:rPr>
                      <w:b/>
                      <w:sz w:val="25"/>
                      <w:szCs w:val="25"/>
                    </w:rPr>
                  </w:pPr>
                  <w:r w:rsidRPr="00B32721">
                    <w:rPr>
                      <w:b/>
                      <w:sz w:val="25"/>
                      <w:szCs w:val="25"/>
                      <w:lang w:bidi="en-US"/>
                    </w:rPr>
                    <w:t>62</w:t>
                  </w:r>
                  <w:r w:rsidR="005C6587">
                    <w:rPr>
                      <w:b/>
                      <w:sz w:val="25"/>
                      <w:szCs w:val="25"/>
                      <w:lang w:bidi="en-US"/>
                    </w:rPr>
                    <w:t>,</w:t>
                  </w:r>
                  <w:r w:rsidRPr="00B32721">
                    <w:rPr>
                      <w:b/>
                      <w:sz w:val="25"/>
                      <w:szCs w:val="25"/>
                      <w:lang w:bidi="en-US"/>
                    </w:rPr>
                    <w:t>405</w:t>
                  </w:r>
                  <w:r w:rsidR="005C6587">
                    <w:rPr>
                      <w:b/>
                      <w:sz w:val="25"/>
                      <w:szCs w:val="25"/>
                      <w:lang w:bidi="en-US"/>
                    </w:rPr>
                    <w:t>,</w:t>
                  </w:r>
                  <w:r w:rsidRPr="00B32721">
                    <w:rPr>
                      <w:b/>
                      <w:sz w:val="25"/>
                      <w:szCs w:val="25"/>
                      <w:lang w:bidi="en-US"/>
                    </w:rPr>
                    <w:t>578</w:t>
                  </w:r>
                  <w:r w:rsidR="005C6587">
                    <w:rPr>
                      <w:b/>
                      <w:sz w:val="25"/>
                      <w:szCs w:val="25"/>
                      <w:lang w:bidi="en-US"/>
                    </w:rPr>
                    <w:t>,</w:t>
                  </w:r>
                  <w:r w:rsidRPr="00B32721">
                    <w:rPr>
                      <w:b/>
                      <w:sz w:val="25"/>
                      <w:szCs w:val="25"/>
                      <w:lang w:bidi="en-US"/>
                    </w:rPr>
                    <w:t xml:space="preserve">900 </w:t>
                  </w:r>
                </w:p>
              </w:tc>
              <w:tc>
                <w:tcPr>
                  <w:tcW w:w="3202" w:type="dxa"/>
                  <w:shd w:val="clear" w:color="auto" w:fill="auto"/>
                </w:tcPr>
                <w:p w:rsidR="005B1F00" w:rsidRPr="00B32721" w:rsidRDefault="005B1F00" w:rsidP="00956A60">
                  <w:pPr>
                    <w:keepNext/>
                    <w:keepLines/>
                    <w:jc w:val="right"/>
                    <w:rPr>
                      <w:b/>
                      <w:sz w:val="25"/>
                      <w:szCs w:val="25"/>
                    </w:rPr>
                  </w:pPr>
                  <w:r w:rsidRPr="00B32721">
                    <w:rPr>
                      <w:b/>
                      <w:sz w:val="25"/>
                      <w:szCs w:val="25"/>
                      <w:lang w:bidi="en-US"/>
                    </w:rPr>
                    <w:t xml:space="preserve">100.0000 </w:t>
                  </w:r>
                </w:p>
              </w:tc>
            </w:tr>
          </w:tbl>
          <w:p w:rsidR="005B1F00" w:rsidRPr="00B32721" w:rsidRDefault="005B1F00" w:rsidP="003E69E2">
            <w:pPr>
              <w:adjustRightInd w:val="0"/>
              <w:ind w:left="137"/>
              <w:contextualSpacing/>
              <w:jc w:val="both"/>
              <w:rPr>
                <w:rFonts w:ascii="TimesNewRomanPS-BoldItalicMT" w:hAnsi="TimesNewRomanPS-BoldItalicMT" w:cs="TimesNewRomanPS-BoldItalicMT"/>
                <w:bCs/>
                <w:iCs/>
                <w:sz w:val="25"/>
                <w:szCs w:val="25"/>
              </w:rPr>
            </w:pPr>
          </w:p>
          <w:p w:rsidR="00BE2481" w:rsidRPr="00B32721" w:rsidRDefault="00BE2481" w:rsidP="005B1F00">
            <w:pPr>
              <w:ind w:left="137" w:right="111"/>
              <w:jc w:val="both"/>
              <w:rPr>
                <w:b/>
                <w:sz w:val="25"/>
                <w:szCs w:val="25"/>
              </w:rPr>
            </w:pPr>
            <w:r w:rsidRPr="00B32721">
              <w:rPr>
                <w:b/>
                <w:sz w:val="25"/>
                <w:szCs w:val="25"/>
                <w:lang w:bidi="en-US"/>
              </w:rPr>
              <w:t>Decision taken on the agenda issue No. 1:</w:t>
            </w:r>
          </w:p>
          <w:p w:rsidR="005B1F00" w:rsidRPr="00B32721" w:rsidRDefault="005B1F00" w:rsidP="005B1F00">
            <w:pPr>
              <w:tabs>
                <w:tab w:val="left" w:pos="-2977"/>
              </w:tabs>
              <w:spacing w:before="20"/>
              <w:ind w:left="137" w:right="111"/>
              <w:jc w:val="both"/>
              <w:rPr>
                <w:sz w:val="25"/>
                <w:szCs w:val="25"/>
              </w:rPr>
            </w:pPr>
            <w:r w:rsidRPr="00B32721">
              <w:rPr>
                <w:sz w:val="25"/>
                <w:szCs w:val="25"/>
                <w:lang w:bidi="en-US"/>
              </w:rPr>
              <w:t>1. Pay dividends on ordinary shares of the Company from the net profit of the Company according to the results of 9 months of 2019 in the amount of 0.0019999807 rubles per ordinary share in cash.</w:t>
            </w:r>
          </w:p>
          <w:p w:rsidR="005B1F00" w:rsidRPr="00B32721" w:rsidRDefault="005B1F00" w:rsidP="005B1F00">
            <w:pPr>
              <w:tabs>
                <w:tab w:val="left" w:pos="-2977"/>
              </w:tabs>
              <w:ind w:left="137" w:right="111"/>
              <w:jc w:val="both"/>
              <w:rPr>
                <w:sz w:val="25"/>
                <w:szCs w:val="25"/>
              </w:rPr>
            </w:pPr>
            <w:r w:rsidRPr="00B32721">
              <w:rPr>
                <w:sz w:val="25"/>
                <w:szCs w:val="25"/>
                <w:lang w:bidi="en-US"/>
              </w:rPr>
              <w:t>2. The amount of accrued dividends per one shareholder of the Company is determined with an accuracy of one kopeck. The rounding of the number in the calculation is carried out according to the rules of mathematical rounding.</w:t>
            </w:r>
          </w:p>
          <w:p w:rsidR="005B1F00" w:rsidRPr="00B32721" w:rsidRDefault="005B1F00" w:rsidP="005B1F00">
            <w:pPr>
              <w:tabs>
                <w:tab w:val="left" w:pos="-2977"/>
              </w:tabs>
              <w:ind w:left="137" w:right="111"/>
              <w:jc w:val="both"/>
              <w:rPr>
                <w:sz w:val="25"/>
                <w:szCs w:val="25"/>
              </w:rPr>
            </w:pPr>
            <w:r w:rsidRPr="00B32721">
              <w:rPr>
                <w:sz w:val="25"/>
                <w:szCs w:val="25"/>
                <w:lang w:bidi="en-US"/>
              </w:rPr>
              <w:t>3. The term for payment of dividend to a nominal holder or a trustee being a professional participant of the security market shall not be in excess of 10 business days, to other shareholders registered in the register – 25 business days from the date when the list of persons having the right to receive dividend was generate</w:t>
            </w:r>
            <w:r w:rsidR="006E167F">
              <w:rPr>
                <w:sz w:val="25"/>
                <w:szCs w:val="25"/>
                <w:lang w:bidi="en-US"/>
              </w:rPr>
              <w:t>d</w:t>
            </w:r>
            <w:r w:rsidRPr="00B32721">
              <w:rPr>
                <w:sz w:val="25"/>
                <w:szCs w:val="25"/>
                <w:lang w:bidi="en-US"/>
              </w:rPr>
              <w:t>.</w:t>
            </w:r>
          </w:p>
          <w:p w:rsidR="005B1F00" w:rsidRPr="00B32721" w:rsidRDefault="005B1F00" w:rsidP="005B1F00">
            <w:pPr>
              <w:tabs>
                <w:tab w:val="left" w:pos="-2977"/>
              </w:tabs>
              <w:ind w:left="137" w:right="111"/>
              <w:jc w:val="both"/>
              <w:rPr>
                <w:sz w:val="25"/>
                <w:szCs w:val="25"/>
              </w:rPr>
            </w:pPr>
            <w:r w:rsidRPr="00B32721">
              <w:rPr>
                <w:sz w:val="25"/>
                <w:szCs w:val="25"/>
                <w:lang w:bidi="en-US"/>
              </w:rPr>
              <w:t>4. Determine the date of compiling the list of persons entitled to receive dividends – the 14th day from the date of adoption by the extraordinary General Meeting of Shareholders of a decision on the payment of dividends.</w:t>
            </w:r>
          </w:p>
          <w:p w:rsidR="005B1F00" w:rsidRPr="00B32721" w:rsidRDefault="005B1F00" w:rsidP="00646C27">
            <w:pPr>
              <w:keepNext/>
              <w:autoSpaceDE/>
              <w:autoSpaceDN/>
              <w:ind w:left="112"/>
              <w:jc w:val="both"/>
              <w:rPr>
                <w:rFonts w:eastAsiaTheme="minorHAnsi"/>
                <w:sz w:val="25"/>
                <w:szCs w:val="25"/>
                <w:lang w:eastAsia="en-US"/>
              </w:rPr>
            </w:pPr>
          </w:p>
          <w:p w:rsidR="00632F47" w:rsidRPr="00B32721" w:rsidRDefault="00632F47" w:rsidP="00017478">
            <w:pPr>
              <w:widowControl w:val="0"/>
              <w:autoSpaceDE/>
              <w:autoSpaceDN/>
              <w:ind w:left="57" w:right="57"/>
              <w:contextualSpacing/>
              <w:jc w:val="both"/>
              <w:rPr>
                <w:b/>
                <w:bCs/>
                <w:sz w:val="25"/>
                <w:szCs w:val="25"/>
              </w:rPr>
            </w:pPr>
            <w:r w:rsidRPr="00B32721">
              <w:rPr>
                <w:sz w:val="25"/>
                <w:szCs w:val="25"/>
                <w:lang w:bidi="en-US"/>
              </w:rPr>
              <w:t xml:space="preserve">2.7. Date of generation and number of the minutes of the general meeting of participants (shareholders) of the Issuer: </w:t>
            </w:r>
            <w:r w:rsidRPr="00B32721">
              <w:rPr>
                <w:b/>
                <w:sz w:val="25"/>
                <w:szCs w:val="25"/>
                <w:lang w:bidi="en-US"/>
              </w:rPr>
              <w:t>Minutes No. 15 dated 09.01.</w:t>
            </w:r>
            <w:r w:rsidR="005C6587">
              <w:rPr>
                <w:b/>
                <w:sz w:val="25"/>
                <w:szCs w:val="25"/>
                <w:lang w:bidi="en-US"/>
              </w:rPr>
              <w:t>20</w:t>
            </w:r>
            <w:r w:rsidRPr="00B32721">
              <w:rPr>
                <w:b/>
                <w:sz w:val="25"/>
                <w:szCs w:val="25"/>
                <w:lang w:bidi="en-US"/>
              </w:rPr>
              <w:t>.</w:t>
            </w:r>
          </w:p>
          <w:p w:rsidR="001B719D" w:rsidRPr="00B32721" w:rsidRDefault="00632F47" w:rsidP="00017478">
            <w:pPr>
              <w:widowControl w:val="0"/>
              <w:autoSpaceDE/>
              <w:autoSpaceDN/>
              <w:ind w:left="57" w:right="57"/>
              <w:contextualSpacing/>
              <w:jc w:val="both"/>
              <w:rPr>
                <w:bCs/>
                <w:sz w:val="25"/>
                <w:szCs w:val="25"/>
              </w:rPr>
            </w:pPr>
            <w:r w:rsidRPr="00B32721">
              <w:rPr>
                <w:sz w:val="25"/>
                <w:szCs w:val="25"/>
                <w:lang w:bidi="en-US"/>
              </w:rPr>
              <w:t xml:space="preserve">2.8. Identification characteristics of </w:t>
            </w:r>
            <w:r w:rsidR="006E167F" w:rsidRPr="00B32721">
              <w:rPr>
                <w:sz w:val="25"/>
                <w:szCs w:val="25"/>
                <w:lang w:bidi="en-US"/>
              </w:rPr>
              <w:t>the</w:t>
            </w:r>
            <w:r w:rsidRPr="00B32721">
              <w:rPr>
                <w:sz w:val="25"/>
                <w:szCs w:val="25"/>
                <w:lang w:bidi="en-US"/>
              </w:rPr>
              <w:t xml:space="preserve"> shares holders whereof have the right to participate in the annual General Meeting of Shareholders of the Issuer: </w:t>
            </w:r>
            <w:r w:rsidRPr="00B32721">
              <w:rPr>
                <w:b/>
                <w:sz w:val="25"/>
                <w:szCs w:val="25"/>
                <w:lang w:bidi="en-US"/>
              </w:rPr>
              <w:t>ordinary registered uncertified shares; state registration number of the securities issue 1-01-03347-D, dated 23.03.2005, International Securities Identification Number (ISIN) – RU000A0JPPB9</w:t>
            </w:r>
            <w:r w:rsidRPr="00B32721">
              <w:rPr>
                <w:sz w:val="25"/>
                <w:szCs w:val="25"/>
                <w:lang w:bidi="en-US"/>
              </w:rPr>
              <w:t>.</w:t>
            </w:r>
          </w:p>
        </w:tc>
      </w:tr>
      <w:tr w:rsidR="00137C8F" w:rsidRPr="00B36B19" w:rsidTr="005371AC">
        <w:trPr>
          <w:trHeight w:val="149"/>
          <w:jc w:val="center"/>
        </w:trPr>
        <w:tc>
          <w:tcPr>
            <w:tcW w:w="10485" w:type="dxa"/>
            <w:gridSpan w:val="3"/>
            <w:tcBorders>
              <w:top w:val="single" w:sz="4" w:space="0" w:color="auto"/>
              <w:left w:val="single" w:sz="4" w:space="0" w:color="auto"/>
              <w:bottom w:val="nil"/>
              <w:right w:val="single" w:sz="4" w:space="0" w:color="auto"/>
            </w:tcBorders>
          </w:tcPr>
          <w:p w:rsidR="00137C8F" w:rsidRPr="00B32721" w:rsidRDefault="00137C8F" w:rsidP="00987113">
            <w:pPr>
              <w:widowControl w:val="0"/>
              <w:autoSpaceDE/>
              <w:autoSpaceDN/>
              <w:spacing w:after="60"/>
              <w:jc w:val="center"/>
              <w:rPr>
                <w:sz w:val="25"/>
                <w:szCs w:val="25"/>
              </w:rPr>
            </w:pPr>
            <w:r w:rsidRPr="00B32721">
              <w:rPr>
                <w:sz w:val="25"/>
                <w:szCs w:val="25"/>
                <w:lang w:bidi="en-US"/>
              </w:rPr>
              <w:lastRenderedPageBreak/>
              <w:t>3. Signature</w:t>
            </w:r>
          </w:p>
        </w:tc>
      </w:tr>
      <w:tr w:rsidR="008A470A" w:rsidRPr="00B36B19" w:rsidTr="00B36B19">
        <w:tblPrEx>
          <w:tblLook w:val="04A0" w:firstRow="1" w:lastRow="0" w:firstColumn="1" w:lastColumn="0" w:noHBand="0" w:noVBand="1"/>
        </w:tblPrEx>
        <w:trPr>
          <w:trHeight w:val="20"/>
          <w:jc w:val="center"/>
        </w:trPr>
        <w:tc>
          <w:tcPr>
            <w:tcW w:w="5669" w:type="dxa"/>
            <w:tcBorders>
              <w:top w:val="nil"/>
              <w:left w:val="single" w:sz="4" w:space="0" w:color="auto"/>
              <w:bottom w:val="nil"/>
              <w:right w:val="nil"/>
            </w:tcBorders>
            <w:hideMark/>
          </w:tcPr>
          <w:p w:rsidR="008A470A" w:rsidRPr="00B32721" w:rsidRDefault="008A470A" w:rsidP="00E43069">
            <w:pPr>
              <w:widowControl w:val="0"/>
              <w:ind w:left="498" w:hanging="441"/>
              <w:rPr>
                <w:sz w:val="25"/>
                <w:szCs w:val="25"/>
                <w:lang w:eastAsia="en-US"/>
              </w:rPr>
            </w:pPr>
            <w:r w:rsidRPr="00B32721">
              <w:rPr>
                <w:sz w:val="25"/>
                <w:szCs w:val="25"/>
                <w:lang w:bidi="en-US"/>
              </w:rPr>
              <w:t>3.1. Head of the Department for Corporate Governance and Cooperation with Shareholders</w:t>
            </w:r>
            <w:r w:rsidR="0064471D">
              <w:rPr>
                <w:sz w:val="25"/>
                <w:szCs w:val="25"/>
                <w:lang w:bidi="en-US"/>
              </w:rPr>
              <w:br/>
            </w:r>
            <w:r w:rsidR="00956F10" w:rsidRPr="00B32721">
              <w:rPr>
                <w:sz w:val="25"/>
                <w:szCs w:val="25"/>
                <w:lang w:bidi="en-US"/>
              </w:rPr>
              <w:t>IDGC of North-West, PJSC</w:t>
            </w:r>
            <w:r w:rsidR="0064471D">
              <w:rPr>
                <w:sz w:val="25"/>
                <w:szCs w:val="25"/>
                <w:lang w:bidi="en-US"/>
              </w:rPr>
              <w:br/>
            </w:r>
            <w:r w:rsidR="00956F10" w:rsidRPr="00B32721">
              <w:rPr>
                <w:sz w:val="25"/>
                <w:szCs w:val="25"/>
                <w:lang w:bidi="en-US"/>
              </w:rPr>
              <w:t xml:space="preserve">(under the Power of Attorney No. 256 </w:t>
            </w:r>
            <w:r w:rsidR="00E43069" w:rsidRPr="006C0057">
              <w:rPr>
                <w:sz w:val="25"/>
                <w:szCs w:val="25"/>
                <w:lang w:bidi="en-US"/>
              </w:rPr>
              <w:t>as of</w:t>
            </w:r>
            <w:r w:rsidR="00956F10" w:rsidRPr="00B32721">
              <w:rPr>
                <w:sz w:val="25"/>
                <w:szCs w:val="25"/>
                <w:lang w:bidi="en-US"/>
              </w:rPr>
              <w:t xml:space="preserve"> 04</w:t>
            </w:r>
            <w:r w:rsidR="00E43069">
              <w:rPr>
                <w:sz w:val="25"/>
                <w:szCs w:val="25"/>
                <w:lang w:bidi="en-US"/>
              </w:rPr>
              <w:t>.12.</w:t>
            </w:r>
            <w:r w:rsidR="00956F10" w:rsidRPr="00B32721">
              <w:rPr>
                <w:sz w:val="25"/>
                <w:szCs w:val="25"/>
                <w:lang w:bidi="en-US"/>
              </w:rPr>
              <w:t>2019)</w:t>
            </w:r>
          </w:p>
        </w:tc>
        <w:tc>
          <w:tcPr>
            <w:tcW w:w="2690" w:type="dxa"/>
            <w:tcBorders>
              <w:top w:val="nil"/>
              <w:left w:val="nil"/>
              <w:bottom w:val="single" w:sz="4" w:space="0" w:color="auto"/>
              <w:right w:val="nil"/>
            </w:tcBorders>
          </w:tcPr>
          <w:p w:rsidR="008A470A" w:rsidRPr="00B32721"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B32721" w:rsidRDefault="008A470A">
            <w:pPr>
              <w:widowControl w:val="0"/>
              <w:spacing w:line="228" w:lineRule="auto"/>
              <w:ind w:left="57"/>
              <w:rPr>
                <w:sz w:val="25"/>
                <w:szCs w:val="25"/>
                <w:lang w:eastAsia="en-US"/>
              </w:rPr>
            </w:pPr>
          </w:p>
          <w:p w:rsidR="008A470A" w:rsidRPr="00B32721" w:rsidRDefault="00F133F2" w:rsidP="00956F10">
            <w:pPr>
              <w:widowControl w:val="0"/>
              <w:spacing w:line="228" w:lineRule="auto"/>
              <w:ind w:left="57"/>
              <w:rPr>
                <w:sz w:val="25"/>
                <w:szCs w:val="25"/>
                <w:lang w:eastAsia="en-US"/>
              </w:rPr>
            </w:pPr>
            <w:r w:rsidRPr="00B32721">
              <w:rPr>
                <w:sz w:val="25"/>
                <w:szCs w:val="25"/>
                <w:lang w:bidi="en-US"/>
              </w:rPr>
              <w:t>A.A. Temnyshev</w:t>
            </w:r>
          </w:p>
        </w:tc>
      </w:tr>
      <w:tr w:rsidR="008A470A" w:rsidRPr="00B36B19" w:rsidTr="00B36B19">
        <w:tblPrEx>
          <w:tblLook w:val="04A0" w:firstRow="1" w:lastRow="0" w:firstColumn="1" w:lastColumn="0" w:noHBand="0" w:noVBand="1"/>
        </w:tblPrEx>
        <w:trPr>
          <w:trHeight w:val="20"/>
          <w:jc w:val="center"/>
        </w:trPr>
        <w:tc>
          <w:tcPr>
            <w:tcW w:w="5669" w:type="dxa"/>
            <w:tcBorders>
              <w:top w:val="nil"/>
              <w:left w:val="single" w:sz="4" w:space="0" w:color="auto"/>
              <w:bottom w:val="single" w:sz="4" w:space="0" w:color="auto"/>
              <w:right w:val="nil"/>
            </w:tcBorders>
          </w:tcPr>
          <w:p w:rsidR="008A470A" w:rsidRPr="00B32721" w:rsidRDefault="008A470A">
            <w:pPr>
              <w:widowControl w:val="0"/>
              <w:autoSpaceDE/>
              <w:spacing w:line="276" w:lineRule="auto"/>
              <w:ind w:left="57"/>
              <w:rPr>
                <w:sz w:val="25"/>
                <w:szCs w:val="25"/>
                <w:lang w:eastAsia="en-US"/>
              </w:rPr>
            </w:pPr>
          </w:p>
          <w:p w:rsidR="008A470A" w:rsidRPr="00B32721" w:rsidRDefault="008A470A" w:rsidP="00173ABB">
            <w:pPr>
              <w:widowControl w:val="0"/>
              <w:autoSpaceDE/>
              <w:spacing w:line="276" w:lineRule="auto"/>
              <w:ind w:left="57"/>
              <w:rPr>
                <w:sz w:val="25"/>
                <w:szCs w:val="25"/>
                <w:lang w:eastAsia="en-US"/>
              </w:rPr>
            </w:pPr>
            <w:r w:rsidRPr="00B32721">
              <w:rPr>
                <w:sz w:val="25"/>
                <w:szCs w:val="25"/>
                <w:lang w:bidi="en-US"/>
              </w:rPr>
              <w:t xml:space="preserve">3.2. Date </w:t>
            </w:r>
            <w:r w:rsidRPr="00B32721">
              <w:rPr>
                <w:b/>
                <w:sz w:val="25"/>
                <w:szCs w:val="25"/>
                <w:lang w:bidi="en-US"/>
              </w:rPr>
              <w:t>January 09, 2020</w:t>
            </w:r>
          </w:p>
        </w:tc>
        <w:tc>
          <w:tcPr>
            <w:tcW w:w="2690" w:type="dxa"/>
            <w:tcBorders>
              <w:top w:val="single" w:sz="4" w:space="0" w:color="auto"/>
              <w:left w:val="nil"/>
              <w:bottom w:val="single" w:sz="4" w:space="0" w:color="auto"/>
              <w:right w:val="nil"/>
            </w:tcBorders>
            <w:hideMark/>
          </w:tcPr>
          <w:p w:rsidR="008A470A" w:rsidRPr="00B32721" w:rsidRDefault="008A470A">
            <w:pPr>
              <w:widowControl w:val="0"/>
              <w:autoSpaceDE/>
              <w:spacing w:line="276" w:lineRule="auto"/>
              <w:ind w:left="57"/>
              <w:jc w:val="center"/>
              <w:rPr>
                <w:sz w:val="25"/>
                <w:szCs w:val="25"/>
                <w:lang w:eastAsia="en-US"/>
              </w:rPr>
            </w:pPr>
            <w:r w:rsidRPr="00B32721">
              <w:rPr>
                <w:sz w:val="25"/>
                <w:szCs w:val="25"/>
                <w:lang w:bidi="en-US"/>
              </w:rPr>
              <w:t>(signature)</w:t>
            </w:r>
          </w:p>
          <w:p w:rsidR="008A470A" w:rsidRPr="00B32721" w:rsidRDefault="008A470A">
            <w:pPr>
              <w:widowControl w:val="0"/>
              <w:autoSpaceDE/>
              <w:spacing w:line="276" w:lineRule="auto"/>
              <w:ind w:left="57"/>
              <w:jc w:val="center"/>
              <w:rPr>
                <w:sz w:val="25"/>
                <w:szCs w:val="25"/>
                <w:lang w:eastAsia="en-US"/>
              </w:rPr>
            </w:pPr>
            <w:r w:rsidRPr="00B32721">
              <w:rPr>
                <w:sz w:val="25"/>
                <w:szCs w:val="25"/>
                <w:lang w:bidi="en-US"/>
              </w:rPr>
              <w:t>L.S.</w:t>
            </w:r>
          </w:p>
        </w:tc>
        <w:tc>
          <w:tcPr>
            <w:tcW w:w="2126" w:type="dxa"/>
            <w:tcBorders>
              <w:top w:val="nil"/>
              <w:left w:val="nil"/>
              <w:bottom w:val="single" w:sz="4" w:space="0" w:color="auto"/>
              <w:right w:val="single" w:sz="4" w:space="0" w:color="auto"/>
            </w:tcBorders>
            <w:vAlign w:val="bottom"/>
          </w:tcPr>
          <w:p w:rsidR="008A470A" w:rsidRPr="00B32721" w:rsidRDefault="008A470A">
            <w:pPr>
              <w:widowControl w:val="0"/>
              <w:autoSpaceDE/>
              <w:spacing w:line="276" w:lineRule="auto"/>
              <w:ind w:left="57"/>
              <w:rPr>
                <w:sz w:val="25"/>
                <w:szCs w:val="25"/>
                <w:lang w:eastAsia="en-US"/>
              </w:rPr>
            </w:pPr>
          </w:p>
        </w:tc>
      </w:tr>
    </w:tbl>
    <w:p w:rsidR="00CA0134" w:rsidRPr="00B36B19" w:rsidRDefault="00CA0134" w:rsidP="006208B2">
      <w:pPr>
        <w:rPr>
          <w:sz w:val="26"/>
          <w:szCs w:val="26"/>
        </w:rPr>
      </w:pPr>
    </w:p>
    <w:p w:rsidR="002C1BD0" w:rsidRPr="00B36B19" w:rsidRDefault="002C1BD0" w:rsidP="00D65CE3">
      <w:pPr>
        <w:widowControl w:val="0"/>
        <w:rPr>
          <w:sz w:val="26"/>
          <w:szCs w:val="26"/>
        </w:rPr>
      </w:pPr>
    </w:p>
    <w:p w:rsidR="002C1BD0" w:rsidRPr="00B36B19" w:rsidRDefault="002C1BD0"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D56A78" w:rsidRPr="00B36B19" w:rsidRDefault="00D56A78" w:rsidP="00D65CE3">
      <w:pPr>
        <w:widowControl w:val="0"/>
        <w:rPr>
          <w:sz w:val="26"/>
          <w:szCs w:val="26"/>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Pr="00B36B19" w:rsidRDefault="00EE7DDE" w:rsidP="00EE7DDE">
      <w:pPr>
        <w:widowControl w:val="0"/>
        <w:rPr>
          <w:sz w:val="24"/>
          <w:szCs w:val="24"/>
        </w:rPr>
      </w:pPr>
    </w:p>
    <w:p w:rsidR="00EE7DDE" w:rsidRDefault="00EE7DDE" w:rsidP="00EE7DDE">
      <w:pPr>
        <w:widowControl w:val="0"/>
        <w:rPr>
          <w:sz w:val="24"/>
          <w:szCs w:val="24"/>
        </w:rPr>
      </w:pPr>
    </w:p>
    <w:p w:rsidR="00B940A4" w:rsidRDefault="00B940A4" w:rsidP="00EE7DDE">
      <w:pPr>
        <w:widowControl w:val="0"/>
        <w:rPr>
          <w:sz w:val="24"/>
          <w:szCs w:val="24"/>
        </w:rPr>
      </w:pPr>
    </w:p>
    <w:p w:rsidR="0064471D" w:rsidRDefault="0064471D" w:rsidP="00EE7DDE">
      <w:pPr>
        <w:widowControl w:val="0"/>
        <w:rPr>
          <w:sz w:val="24"/>
          <w:szCs w:val="24"/>
        </w:rPr>
      </w:pPr>
    </w:p>
    <w:p w:rsidR="00B940A4" w:rsidRDefault="00B940A4" w:rsidP="00EE7DDE">
      <w:pPr>
        <w:widowControl w:val="0"/>
        <w:rPr>
          <w:sz w:val="24"/>
          <w:szCs w:val="24"/>
        </w:rPr>
      </w:pPr>
    </w:p>
    <w:p w:rsidR="00B940A4" w:rsidRDefault="00B940A4" w:rsidP="00EE7DDE">
      <w:pPr>
        <w:widowControl w:val="0"/>
        <w:rPr>
          <w:sz w:val="24"/>
          <w:szCs w:val="24"/>
        </w:rPr>
      </w:pPr>
    </w:p>
    <w:p w:rsidR="006661DD" w:rsidRDefault="006661DD" w:rsidP="00EE7DDE">
      <w:pPr>
        <w:widowControl w:val="0"/>
        <w:rPr>
          <w:sz w:val="24"/>
          <w:szCs w:val="24"/>
        </w:rPr>
      </w:pPr>
    </w:p>
    <w:p w:rsidR="006661DD" w:rsidRDefault="006661DD" w:rsidP="00EE7DDE">
      <w:pPr>
        <w:widowControl w:val="0"/>
        <w:rPr>
          <w:sz w:val="24"/>
          <w:szCs w:val="24"/>
        </w:rPr>
      </w:pPr>
    </w:p>
    <w:p w:rsidR="002031C7" w:rsidRDefault="002031C7" w:rsidP="00EE7DDE">
      <w:pPr>
        <w:widowControl w:val="0"/>
        <w:rPr>
          <w:sz w:val="24"/>
          <w:szCs w:val="24"/>
        </w:rPr>
      </w:pPr>
    </w:p>
    <w:p w:rsidR="002031C7" w:rsidRPr="00B36B19" w:rsidRDefault="002031C7" w:rsidP="00EE7DDE">
      <w:pPr>
        <w:widowControl w:val="0"/>
        <w:rPr>
          <w:sz w:val="24"/>
          <w:szCs w:val="24"/>
        </w:rPr>
      </w:pPr>
    </w:p>
    <w:p w:rsidR="00922D4E" w:rsidRPr="00B36B19" w:rsidRDefault="00922D4E" w:rsidP="00EE7DDE">
      <w:pPr>
        <w:widowControl w:val="0"/>
        <w:rPr>
          <w:sz w:val="24"/>
          <w:szCs w:val="24"/>
        </w:rPr>
      </w:pPr>
    </w:p>
    <w:tbl>
      <w:tblPr>
        <w:tblW w:w="10065" w:type="dxa"/>
        <w:tblInd w:w="250" w:type="dxa"/>
        <w:tblLayout w:type="fixed"/>
        <w:tblLook w:val="04A0" w:firstRow="1" w:lastRow="0" w:firstColumn="1" w:lastColumn="0" w:noHBand="0" w:noVBand="1"/>
      </w:tblPr>
      <w:tblGrid>
        <w:gridCol w:w="5528"/>
        <w:gridCol w:w="2552"/>
        <w:gridCol w:w="1985"/>
      </w:tblGrid>
      <w:tr w:rsidR="00EE7DDE" w:rsidRPr="00B36B19" w:rsidTr="00B940A4">
        <w:tc>
          <w:tcPr>
            <w:tcW w:w="5528" w:type="dxa"/>
            <w:vAlign w:val="bottom"/>
          </w:tcPr>
          <w:p w:rsidR="00EE7DDE" w:rsidRPr="00B36B19" w:rsidRDefault="00EE7DDE" w:rsidP="00987113">
            <w:pPr>
              <w:rPr>
                <w:sz w:val="24"/>
                <w:szCs w:val="24"/>
              </w:rPr>
            </w:pPr>
          </w:p>
        </w:tc>
        <w:tc>
          <w:tcPr>
            <w:tcW w:w="2552" w:type="dxa"/>
            <w:vAlign w:val="bottom"/>
          </w:tcPr>
          <w:p w:rsidR="00EE7DDE" w:rsidRPr="00B36B19" w:rsidRDefault="00EE7DDE" w:rsidP="00987113">
            <w:pPr>
              <w:rPr>
                <w:sz w:val="24"/>
                <w:szCs w:val="24"/>
              </w:rPr>
            </w:pPr>
          </w:p>
        </w:tc>
        <w:tc>
          <w:tcPr>
            <w:tcW w:w="1985" w:type="dxa"/>
            <w:vAlign w:val="bottom"/>
          </w:tcPr>
          <w:p w:rsidR="00EE7DDE" w:rsidRPr="00B36B19" w:rsidRDefault="00EE7DDE" w:rsidP="00987113">
            <w:pPr>
              <w:rPr>
                <w:sz w:val="24"/>
                <w:szCs w:val="24"/>
              </w:rPr>
            </w:pPr>
          </w:p>
        </w:tc>
      </w:tr>
      <w:tr w:rsidR="00EE7DDE" w:rsidRPr="00EC3080" w:rsidTr="00B940A4">
        <w:tc>
          <w:tcPr>
            <w:tcW w:w="5528" w:type="dxa"/>
            <w:vAlign w:val="bottom"/>
          </w:tcPr>
          <w:p w:rsidR="00EE7DDE" w:rsidRPr="00B36B19" w:rsidRDefault="00EE7DDE" w:rsidP="00987113">
            <w:pPr>
              <w:rPr>
                <w:sz w:val="24"/>
                <w:szCs w:val="24"/>
              </w:rPr>
            </w:pPr>
          </w:p>
          <w:p w:rsidR="00EE7DDE" w:rsidRPr="00B36B19" w:rsidRDefault="00EE7DDE" w:rsidP="00987113">
            <w:pPr>
              <w:rPr>
                <w:sz w:val="24"/>
                <w:szCs w:val="24"/>
              </w:rPr>
            </w:pPr>
            <w:r w:rsidRPr="00B36B19">
              <w:rPr>
                <w:sz w:val="24"/>
                <w:szCs w:val="24"/>
                <w:lang w:bidi="en-US"/>
              </w:rPr>
              <w:t xml:space="preserve">Head of the Shareholder and Investor Relations Section </w:t>
            </w:r>
          </w:p>
        </w:tc>
        <w:tc>
          <w:tcPr>
            <w:tcW w:w="2552" w:type="dxa"/>
            <w:vAlign w:val="bottom"/>
          </w:tcPr>
          <w:p w:rsidR="00EE7DDE" w:rsidRPr="00B36B19" w:rsidRDefault="00EE7DDE" w:rsidP="00987113">
            <w:pPr>
              <w:jc w:val="right"/>
              <w:rPr>
                <w:sz w:val="24"/>
                <w:szCs w:val="24"/>
              </w:rPr>
            </w:pPr>
            <w:r w:rsidRPr="00B36B19">
              <w:rPr>
                <w:sz w:val="24"/>
                <w:szCs w:val="24"/>
                <w:lang w:bidi="en-US"/>
              </w:rPr>
              <w:t>___________________</w:t>
            </w:r>
          </w:p>
        </w:tc>
        <w:tc>
          <w:tcPr>
            <w:tcW w:w="1985" w:type="dxa"/>
            <w:vAlign w:val="bottom"/>
          </w:tcPr>
          <w:p w:rsidR="00EE7DDE" w:rsidRPr="00EC3080" w:rsidRDefault="00EE7DDE" w:rsidP="00987113">
            <w:pPr>
              <w:rPr>
                <w:sz w:val="24"/>
                <w:szCs w:val="24"/>
              </w:rPr>
            </w:pPr>
            <w:r w:rsidRPr="00B36B19">
              <w:rPr>
                <w:sz w:val="24"/>
                <w:szCs w:val="24"/>
                <w:lang w:bidi="en-US"/>
              </w:rPr>
              <w:t>L.V. Vasinyuk</w:t>
            </w:r>
          </w:p>
        </w:tc>
      </w:tr>
    </w:tbl>
    <w:p w:rsidR="00EE7DDE" w:rsidRPr="004A760A" w:rsidRDefault="00EE7DDE" w:rsidP="005371AC">
      <w:pPr>
        <w:widowControl w:val="0"/>
        <w:rPr>
          <w:sz w:val="6"/>
          <w:szCs w:val="24"/>
        </w:rPr>
      </w:pPr>
    </w:p>
    <w:sectPr w:rsidR="00EE7DDE" w:rsidRPr="004A760A" w:rsidSect="00F92BFB">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13" w:rsidRDefault="00987113">
      <w:r>
        <w:separator/>
      </w:r>
    </w:p>
  </w:endnote>
  <w:endnote w:type="continuationSeparator" w:id="0">
    <w:p w:rsidR="00987113" w:rsidRDefault="009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3A" w:rsidRDefault="00E83B3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13" w:rsidRPr="00846E0F" w:rsidRDefault="00987113" w:rsidP="00987113">
    <w:pPr>
      <w:pStyle w:val="a3"/>
      <w:jc w:val="right"/>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3A" w:rsidRDefault="00E83B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13" w:rsidRDefault="00987113">
      <w:r>
        <w:separator/>
      </w:r>
    </w:p>
  </w:footnote>
  <w:footnote w:type="continuationSeparator" w:id="0">
    <w:p w:rsidR="00987113" w:rsidRDefault="0098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3A" w:rsidRDefault="00E83B3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3A" w:rsidRDefault="00E83B3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3A" w:rsidRDefault="00E83B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60E1AD3"/>
    <w:multiLevelType w:val="hybridMultilevel"/>
    <w:tmpl w:val="8E1C4F0E"/>
    <w:lvl w:ilvl="0" w:tplc="E5160066">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5">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2B45B2"/>
    <w:multiLevelType w:val="hybridMultilevel"/>
    <w:tmpl w:val="589A6AF2"/>
    <w:lvl w:ilvl="0" w:tplc="1A548F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23572EF"/>
    <w:multiLevelType w:val="hybridMultilevel"/>
    <w:tmpl w:val="B9766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1"/>
  </w:num>
  <w:num w:numId="5">
    <w:abstractNumId w:val="9"/>
  </w:num>
  <w:num w:numId="6">
    <w:abstractNumId w:val="5"/>
  </w:num>
  <w:num w:numId="7">
    <w:abstractNumId w:val="14"/>
  </w:num>
  <w:num w:numId="8">
    <w:abstractNumId w:val="1"/>
  </w:num>
  <w:num w:numId="9">
    <w:abstractNumId w:val="0"/>
  </w:num>
  <w:num w:numId="10">
    <w:abstractNumId w:val="15"/>
  </w:num>
  <w:num w:numId="11">
    <w:abstractNumId w:val="12"/>
  </w:num>
  <w:num w:numId="12">
    <w:abstractNumId w:val="6"/>
  </w:num>
  <w:num w:numId="13">
    <w:abstractNumId w:val="2"/>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1FAF"/>
    <w:rsid w:val="00012E90"/>
    <w:rsid w:val="00017478"/>
    <w:rsid w:val="00021B80"/>
    <w:rsid w:val="000230FF"/>
    <w:rsid w:val="0002379A"/>
    <w:rsid w:val="0003575C"/>
    <w:rsid w:val="000460D8"/>
    <w:rsid w:val="00057715"/>
    <w:rsid w:val="00057959"/>
    <w:rsid w:val="000602A6"/>
    <w:rsid w:val="00062C30"/>
    <w:rsid w:val="00081DC3"/>
    <w:rsid w:val="00081F78"/>
    <w:rsid w:val="00085975"/>
    <w:rsid w:val="00090918"/>
    <w:rsid w:val="00095B5D"/>
    <w:rsid w:val="000A4F27"/>
    <w:rsid w:val="000A5DAC"/>
    <w:rsid w:val="000A7613"/>
    <w:rsid w:val="000B3626"/>
    <w:rsid w:val="000C445D"/>
    <w:rsid w:val="000D0451"/>
    <w:rsid w:val="000D345D"/>
    <w:rsid w:val="000D6CB6"/>
    <w:rsid w:val="001023E9"/>
    <w:rsid w:val="0010588B"/>
    <w:rsid w:val="0012178B"/>
    <w:rsid w:val="0013080C"/>
    <w:rsid w:val="00131190"/>
    <w:rsid w:val="00133456"/>
    <w:rsid w:val="001348E4"/>
    <w:rsid w:val="001354CB"/>
    <w:rsid w:val="00136789"/>
    <w:rsid w:val="001367E7"/>
    <w:rsid w:val="00137C8F"/>
    <w:rsid w:val="00142F09"/>
    <w:rsid w:val="00162671"/>
    <w:rsid w:val="0016450B"/>
    <w:rsid w:val="00173ABB"/>
    <w:rsid w:val="001768CC"/>
    <w:rsid w:val="00192A92"/>
    <w:rsid w:val="001A0D7F"/>
    <w:rsid w:val="001B1FBB"/>
    <w:rsid w:val="001B444B"/>
    <w:rsid w:val="001B4B16"/>
    <w:rsid w:val="001B719D"/>
    <w:rsid w:val="001E05E0"/>
    <w:rsid w:val="001F191B"/>
    <w:rsid w:val="001F2C75"/>
    <w:rsid w:val="001F5481"/>
    <w:rsid w:val="001F75D5"/>
    <w:rsid w:val="002031C7"/>
    <w:rsid w:val="00207BBA"/>
    <w:rsid w:val="00213C32"/>
    <w:rsid w:val="002153A7"/>
    <w:rsid w:val="0021713E"/>
    <w:rsid w:val="00222B5B"/>
    <w:rsid w:val="00223AF9"/>
    <w:rsid w:val="002412AD"/>
    <w:rsid w:val="0024582B"/>
    <w:rsid w:val="00245AC6"/>
    <w:rsid w:val="00261C8B"/>
    <w:rsid w:val="00264D41"/>
    <w:rsid w:val="00266406"/>
    <w:rsid w:val="00267762"/>
    <w:rsid w:val="002706F5"/>
    <w:rsid w:val="00270AFE"/>
    <w:rsid w:val="002828F0"/>
    <w:rsid w:val="002845A9"/>
    <w:rsid w:val="00292E3E"/>
    <w:rsid w:val="0029369D"/>
    <w:rsid w:val="002A13C6"/>
    <w:rsid w:val="002A13FC"/>
    <w:rsid w:val="002A41DB"/>
    <w:rsid w:val="002A41E5"/>
    <w:rsid w:val="002A6973"/>
    <w:rsid w:val="002B0903"/>
    <w:rsid w:val="002B5D69"/>
    <w:rsid w:val="002B7793"/>
    <w:rsid w:val="002C1BD0"/>
    <w:rsid w:val="002C3D78"/>
    <w:rsid w:val="002C55C9"/>
    <w:rsid w:val="002C58D9"/>
    <w:rsid w:val="002D2A9D"/>
    <w:rsid w:val="002D7642"/>
    <w:rsid w:val="002D7725"/>
    <w:rsid w:val="002E09D3"/>
    <w:rsid w:val="002E3333"/>
    <w:rsid w:val="002E558F"/>
    <w:rsid w:val="002F78EB"/>
    <w:rsid w:val="002F7B00"/>
    <w:rsid w:val="00301C84"/>
    <w:rsid w:val="0031304E"/>
    <w:rsid w:val="00320349"/>
    <w:rsid w:val="00326036"/>
    <w:rsid w:val="00334A77"/>
    <w:rsid w:val="00343D45"/>
    <w:rsid w:val="00346DD9"/>
    <w:rsid w:val="00357C9E"/>
    <w:rsid w:val="003612CA"/>
    <w:rsid w:val="00376FB5"/>
    <w:rsid w:val="0038050C"/>
    <w:rsid w:val="00381CE8"/>
    <w:rsid w:val="00383272"/>
    <w:rsid w:val="00385440"/>
    <w:rsid w:val="00385EE1"/>
    <w:rsid w:val="003951D0"/>
    <w:rsid w:val="003A36D7"/>
    <w:rsid w:val="003B32C1"/>
    <w:rsid w:val="003B6DBC"/>
    <w:rsid w:val="003D6039"/>
    <w:rsid w:val="003E15D3"/>
    <w:rsid w:val="003E69E2"/>
    <w:rsid w:val="003F02DD"/>
    <w:rsid w:val="003F0D13"/>
    <w:rsid w:val="00401533"/>
    <w:rsid w:val="00416DDF"/>
    <w:rsid w:val="00441B1B"/>
    <w:rsid w:val="00451C9A"/>
    <w:rsid w:val="0045655F"/>
    <w:rsid w:val="004621A0"/>
    <w:rsid w:val="00475AFA"/>
    <w:rsid w:val="0048411A"/>
    <w:rsid w:val="00496D35"/>
    <w:rsid w:val="004A760A"/>
    <w:rsid w:val="004B1220"/>
    <w:rsid w:val="004B31CE"/>
    <w:rsid w:val="004B5FE6"/>
    <w:rsid w:val="004C627B"/>
    <w:rsid w:val="004D1633"/>
    <w:rsid w:val="004D58AD"/>
    <w:rsid w:val="004E6B12"/>
    <w:rsid w:val="00504AAC"/>
    <w:rsid w:val="00505FA0"/>
    <w:rsid w:val="005128A2"/>
    <w:rsid w:val="005219D0"/>
    <w:rsid w:val="005251DB"/>
    <w:rsid w:val="00526E23"/>
    <w:rsid w:val="00530519"/>
    <w:rsid w:val="00533450"/>
    <w:rsid w:val="00536E4C"/>
    <w:rsid w:val="005371AC"/>
    <w:rsid w:val="00537507"/>
    <w:rsid w:val="005429BD"/>
    <w:rsid w:val="00545947"/>
    <w:rsid w:val="00546910"/>
    <w:rsid w:val="00556C64"/>
    <w:rsid w:val="0056460B"/>
    <w:rsid w:val="00564781"/>
    <w:rsid w:val="00565A62"/>
    <w:rsid w:val="00574C1D"/>
    <w:rsid w:val="00583F88"/>
    <w:rsid w:val="00586FBA"/>
    <w:rsid w:val="005A5015"/>
    <w:rsid w:val="005B1F00"/>
    <w:rsid w:val="005B7020"/>
    <w:rsid w:val="005C3E5E"/>
    <w:rsid w:val="005C4CD2"/>
    <w:rsid w:val="005C6587"/>
    <w:rsid w:val="005D1748"/>
    <w:rsid w:val="005D448D"/>
    <w:rsid w:val="005D53F1"/>
    <w:rsid w:val="005E7145"/>
    <w:rsid w:val="00600982"/>
    <w:rsid w:val="00605DA0"/>
    <w:rsid w:val="006208B2"/>
    <w:rsid w:val="00620A3A"/>
    <w:rsid w:val="006229AD"/>
    <w:rsid w:val="00626705"/>
    <w:rsid w:val="0063126E"/>
    <w:rsid w:val="00632F47"/>
    <w:rsid w:val="00634959"/>
    <w:rsid w:val="006352A6"/>
    <w:rsid w:val="0064471D"/>
    <w:rsid w:val="00646C27"/>
    <w:rsid w:val="00653B27"/>
    <w:rsid w:val="00655A32"/>
    <w:rsid w:val="006661DD"/>
    <w:rsid w:val="00670373"/>
    <w:rsid w:val="00676B27"/>
    <w:rsid w:val="00687035"/>
    <w:rsid w:val="006907BF"/>
    <w:rsid w:val="00691210"/>
    <w:rsid w:val="006977C3"/>
    <w:rsid w:val="00697B87"/>
    <w:rsid w:val="006A1F4B"/>
    <w:rsid w:val="006B6D1C"/>
    <w:rsid w:val="006C1EA4"/>
    <w:rsid w:val="006D5CC6"/>
    <w:rsid w:val="006D67E3"/>
    <w:rsid w:val="006E15E5"/>
    <w:rsid w:val="006E167F"/>
    <w:rsid w:val="006E7050"/>
    <w:rsid w:val="006F1D60"/>
    <w:rsid w:val="006F1FD2"/>
    <w:rsid w:val="00716858"/>
    <w:rsid w:val="00716D27"/>
    <w:rsid w:val="00717ABB"/>
    <w:rsid w:val="007203A3"/>
    <w:rsid w:val="00723E2E"/>
    <w:rsid w:val="00734AF6"/>
    <w:rsid w:val="00735D5D"/>
    <w:rsid w:val="00743B92"/>
    <w:rsid w:val="00750941"/>
    <w:rsid w:val="00753EE5"/>
    <w:rsid w:val="00766F00"/>
    <w:rsid w:val="0076700C"/>
    <w:rsid w:val="00767714"/>
    <w:rsid w:val="00786CF4"/>
    <w:rsid w:val="00796BA5"/>
    <w:rsid w:val="007A7F11"/>
    <w:rsid w:val="007B1744"/>
    <w:rsid w:val="007B26AD"/>
    <w:rsid w:val="007B2AA0"/>
    <w:rsid w:val="007B6745"/>
    <w:rsid w:val="007D411D"/>
    <w:rsid w:val="007F507F"/>
    <w:rsid w:val="00806116"/>
    <w:rsid w:val="0081736C"/>
    <w:rsid w:val="00823DFE"/>
    <w:rsid w:val="00825DC2"/>
    <w:rsid w:val="008375D6"/>
    <w:rsid w:val="00840286"/>
    <w:rsid w:val="0084215E"/>
    <w:rsid w:val="00847C33"/>
    <w:rsid w:val="00850A14"/>
    <w:rsid w:val="008518D6"/>
    <w:rsid w:val="0085454C"/>
    <w:rsid w:val="00855E05"/>
    <w:rsid w:val="00863671"/>
    <w:rsid w:val="00867582"/>
    <w:rsid w:val="00891DD0"/>
    <w:rsid w:val="00892895"/>
    <w:rsid w:val="00892AF6"/>
    <w:rsid w:val="008942A1"/>
    <w:rsid w:val="008965D3"/>
    <w:rsid w:val="008A470A"/>
    <w:rsid w:val="008A5A50"/>
    <w:rsid w:val="008A5E6D"/>
    <w:rsid w:val="008B2B30"/>
    <w:rsid w:val="008B7FDD"/>
    <w:rsid w:val="008C3CC2"/>
    <w:rsid w:val="008C41D3"/>
    <w:rsid w:val="008D1D34"/>
    <w:rsid w:val="008D2D4C"/>
    <w:rsid w:val="008D5BEC"/>
    <w:rsid w:val="008E2D6D"/>
    <w:rsid w:val="008E399A"/>
    <w:rsid w:val="008E5D0F"/>
    <w:rsid w:val="008E6F79"/>
    <w:rsid w:val="008F038F"/>
    <w:rsid w:val="008F3B68"/>
    <w:rsid w:val="008F4DF9"/>
    <w:rsid w:val="008F66DA"/>
    <w:rsid w:val="008F6B41"/>
    <w:rsid w:val="00902F4E"/>
    <w:rsid w:val="00914ECD"/>
    <w:rsid w:val="00916438"/>
    <w:rsid w:val="00920D0A"/>
    <w:rsid w:val="00922D00"/>
    <w:rsid w:val="00922D4E"/>
    <w:rsid w:val="009269B5"/>
    <w:rsid w:val="00930CD8"/>
    <w:rsid w:val="00931A29"/>
    <w:rsid w:val="009320AA"/>
    <w:rsid w:val="00950DEF"/>
    <w:rsid w:val="00953114"/>
    <w:rsid w:val="00956A60"/>
    <w:rsid w:val="00956F10"/>
    <w:rsid w:val="00987113"/>
    <w:rsid w:val="009971B4"/>
    <w:rsid w:val="009A3021"/>
    <w:rsid w:val="009C04F8"/>
    <w:rsid w:val="009C184E"/>
    <w:rsid w:val="009C5ACD"/>
    <w:rsid w:val="009D3C02"/>
    <w:rsid w:val="009D7633"/>
    <w:rsid w:val="009F090C"/>
    <w:rsid w:val="009F1033"/>
    <w:rsid w:val="009F1A53"/>
    <w:rsid w:val="009F672B"/>
    <w:rsid w:val="00A01347"/>
    <w:rsid w:val="00A40A2C"/>
    <w:rsid w:val="00A52FA4"/>
    <w:rsid w:val="00A5453B"/>
    <w:rsid w:val="00A55AB3"/>
    <w:rsid w:val="00A560A3"/>
    <w:rsid w:val="00A60EBC"/>
    <w:rsid w:val="00A63A50"/>
    <w:rsid w:val="00A70146"/>
    <w:rsid w:val="00A73BF5"/>
    <w:rsid w:val="00A745AA"/>
    <w:rsid w:val="00A936E1"/>
    <w:rsid w:val="00A96526"/>
    <w:rsid w:val="00A97F79"/>
    <w:rsid w:val="00AB3185"/>
    <w:rsid w:val="00AB4407"/>
    <w:rsid w:val="00AB71E5"/>
    <w:rsid w:val="00AC3FC7"/>
    <w:rsid w:val="00AD7F51"/>
    <w:rsid w:val="00AE3E64"/>
    <w:rsid w:val="00AF08E7"/>
    <w:rsid w:val="00B1617B"/>
    <w:rsid w:val="00B229A4"/>
    <w:rsid w:val="00B25010"/>
    <w:rsid w:val="00B32721"/>
    <w:rsid w:val="00B332E2"/>
    <w:rsid w:val="00B36B19"/>
    <w:rsid w:val="00B41737"/>
    <w:rsid w:val="00B452F6"/>
    <w:rsid w:val="00B51B72"/>
    <w:rsid w:val="00B6519F"/>
    <w:rsid w:val="00B71D88"/>
    <w:rsid w:val="00B728EE"/>
    <w:rsid w:val="00B750F8"/>
    <w:rsid w:val="00B82AA7"/>
    <w:rsid w:val="00B87905"/>
    <w:rsid w:val="00B91D6A"/>
    <w:rsid w:val="00B940A4"/>
    <w:rsid w:val="00B964E5"/>
    <w:rsid w:val="00BA75E7"/>
    <w:rsid w:val="00BB52D1"/>
    <w:rsid w:val="00BE2481"/>
    <w:rsid w:val="00BE4BDD"/>
    <w:rsid w:val="00BE601E"/>
    <w:rsid w:val="00BF6841"/>
    <w:rsid w:val="00C0288C"/>
    <w:rsid w:val="00C02DB9"/>
    <w:rsid w:val="00C054C8"/>
    <w:rsid w:val="00C115F2"/>
    <w:rsid w:val="00C12976"/>
    <w:rsid w:val="00C242A2"/>
    <w:rsid w:val="00C253EC"/>
    <w:rsid w:val="00C41096"/>
    <w:rsid w:val="00C446E2"/>
    <w:rsid w:val="00C45775"/>
    <w:rsid w:val="00C52DF9"/>
    <w:rsid w:val="00C53C01"/>
    <w:rsid w:val="00C53C41"/>
    <w:rsid w:val="00C579BC"/>
    <w:rsid w:val="00C6564F"/>
    <w:rsid w:val="00C7043A"/>
    <w:rsid w:val="00C72827"/>
    <w:rsid w:val="00C85DE0"/>
    <w:rsid w:val="00C9460F"/>
    <w:rsid w:val="00CA0134"/>
    <w:rsid w:val="00CA227E"/>
    <w:rsid w:val="00CA6881"/>
    <w:rsid w:val="00CA6B98"/>
    <w:rsid w:val="00CA6C69"/>
    <w:rsid w:val="00CA74C6"/>
    <w:rsid w:val="00CB0FC1"/>
    <w:rsid w:val="00CC177E"/>
    <w:rsid w:val="00CC3B85"/>
    <w:rsid w:val="00CC56A3"/>
    <w:rsid w:val="00CD2908"/>
    <w:rsid w:val="00CD55B5"/>
    <w:rsid w:val="00CD5A64"/>
    <w:rsid w:val="00CD5C52"/>
    <w:rsid w:val="00CD6B87"/>
    <w:rsid w:val="00CD726E"/>
    <w:rsid w:val="00CD7D78"/>
    <w:rsid w:val="00D02937"/>
    <w:rsid w:val="00D059D9"/>
    <w:rsid w:val="00D107C1"/>
    <w:rsid w:val="00D1095F"/>
    <w:rsid w:val="00D26795"/>
    <w:rsid w:val="00D35953"/>
    <w:rsid w:val="00D53E09"/>
    <w:rsid w:val="00D5619F"/>
    <w:rsid w:val="00D56A78"/>
    <w:rsid w:val="00D65CE3"/>
    <w:rsid w:val="00D722F2"/>
    <w:rsid w:val="00D724DC"/>
    <w:rsid w:val="00D96A4D"/>
    <w:rsid w:val="00DA1767"/>
    <w:rsid w:val="00DA6CAB"/>
    <w:rsid w:val="00DA715F"/>
    <w:rsid w:val="00DB340E"/>
    <w:rsid w:val="00DB4914"/>
    <w:rsid w:val="00DB6623"/>
    <w:rsid w:val="00DB6EE7"/>
    <w:rsid w:val="00DC1F7B"/>
    <w:rsid w:val="00DD5625"/>
    <w:rsid w:val="00DE0DEF"/>
    <w:rsid w:val="00DF59EB"/>
    <w:rsid w:val="00DF63C9"/>
    <w:rsid w:val="00DF70E1"/>
    <w:rsid w:val="00E03E80"/>
    <w:rsid w:val="00E12CEB"/>
    <w:rsid w:val="00E2065A"/>
    <w:rsid w:val="00E20C2F"/>
    <w:rsid w:val="00E26168"/>
    <w:rsid w:val="00E33CAE"/>
    <w:rsid w:val="00E36433"/>
    <w:rsid w:val="00E43069"/>
    <w:rsid w:val="00E525D1"/>
    <w:rsid w:val="00E53782"/>
    <w:rsid w:val="00E63876"/>
    <w:rsid w:val="00E67CC6"/>
    <w:rsid w:val="00E7446E"/>
    <w:rsid w:val="00E82DB4"/>
    <w:rsid w:val="00E83B3A"/>
    <w:rsid w:val="00E935E4"/>
    <w:rsid w:val="00EA092A"/>
    <w:rsid w:val="00EA4F6F"/>
    <w:rsid w:val="00EB5E3A"/>
    <w:rsid w:val="00EB7B7A"/>
    <w:rsid w:val="00EC1671"/>
    <w:rsid w:val="00ED2C62"/>
    <w:rsid w:val="00ED6FAC"/>
    <w:rsid w:val="00ED7B84"/>
    <w:rsid w:val="00EE058E"/>
    <w:rsid w:val="00EE4F45"/>
    <w:rsid w:val="00EE7DDE"/>
    <w:rsid w:val="00EF7A69"/>
    <w:rsid w:val="00F02859"/>
    <w:rsid w:val="00F10802"/>
    <w:rsid w:val="00F133F2"/>
    <w:rsid w:val="00F210B1"/>
    <w:rsid w:val="00F35F2D"/>
    <w:rsid w:val="00F37412"/>
    <w:rsid w:val="00F445AD"/>
    <w:rsid w:val="00F4509D"/>
    <w:rsid w:val="00F46756"/>
    <w:rsid w:val="00F50254"/>
    <w:rsid w:val="00F51746"/>
    <w:rsid w:val="00F553DE"/>
    <w:rsid w:val="00F63614"/>
    <w:rsid w:val="00F64F2F"/>
    <w:rsid w:val="00F73E1D"/>
    <w:rsid w:val="00F767E3"/>
    <w:rsid w:val="00F92BFB"/>
    <w:rsid w:val="00F939DB"/>
    <w:rsid w:val="00FA0D55"/>
    <w:rsid w:val="00FA6C63"/>
    <w:rsid w:val="00FA746B"/>
    <w:rsid w:val="00FB5788"/>
    <w:rsid w:val="00FC067C"/>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D25B2EC-887E-49B5-8B9F-7214A779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Îñíîâíîé òåêñò ñ îòñòóïîì 3"/>
    <w:basedOn w:val="a"/>
    <w:rsid w:val="00383272"/>
    <w:pPr>
      <w:autoSpaceDE/>
      <w:autoSpaceDN/>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2440">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96829819">
      <w:bodyDiv w:val="1"/>
      <w:marLeft w:val="0"/>
      <w:marRight w:val="0"/>
      <w:marTop w:val="0"/>
      <w:marBottom w:val="0"/>
      <w:divBdr>
        <w:top w:val="none" w:sz="0" w:space="0" w:color="auto"/>
        <w:left w:val="none" w:sz="0" w:space="0" w:color="auto"/>
        <w:bottom w:val="none" w:sz="0" w:space="0" w:color="auto"/>
        <w:right w:val="none" w:sz="0" w:space="0" w:color="auto"/>
      </w:divBdr>
    </w:div>
    <w:div w:id="500701771">
      <w:bodyDiv w:val="1"/>
      <w:marLeft w:val="0"/>
      <w:marRight w:val="0"/>
      <w:marTop w:val="0"/>
      <w:marBottom w:val="0"/>
      <w:divBdr>
        <w:top w:val="none" w:sz="0" w:space="0" w:color="auto"/>
        <w:left w:val="none" w:sz="0" w:space="0" w:color="auto"/>
        <w:bottom w:val="none" w:sz="0" w:space="0" w:color="auto"/>
        <w:right w:val="none" w:sz="0" w:space="0" w:color="auto"/>
      </w:divBdr>
    </w:div>
    <w:div w:id="548686293">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73979690">
      <w:bodyDiv w:val="1"/>
      <w:marLeft w:val="0"/>
      <w:marRight w:val="0"/>
      <w:marTop w:val="0"/>
      <w:marBottom w:val="0"/>
      <w:divBdr>
        <w:top w:val="none" w:sz="0" w:space="0" w:color="auto"/>
        <w:left w:val="none" w:sz="0" w:space="0" w:color="auto"/>
        <w:bottom w:val="none" w:sz="0" w:space="0" w:color="auto"/>
        <w:right w:val="none" w:sz="0" w:space="0" w:color="auto"/>
      </w:divBdr>
    </w:div>
    <w:div w:id="596715576">
      <w:bodyDiv w:val="1"/>
      <w:marLeft w:val="0"/>
      <w:marRight w:val="0"/>
      <w:marTop w:val="0"/>
      <w:marBottom w:val="0"/>
      <w:divBdr>
        <w:top w:val="none" w:sz="0" w:space="0" w:color="auto"/>
        <w:left w:val="none" w:sz="0" w:space="0" w:color="auto"/>
        <w:bottom w:val="none" w:sz="0" w:space="0" w:color="auto"/>
        <w:right w:val="none" w:sz="0" w:space="0" w:color="auto"/>
      </w:divBdr>
    </w:div>
    <w:div w:id="670450935">
      <w:bodyDiv w:val="1"/>
      <w:marLeft w:val="0"/>
      <w:marRight w:val="0"/>
      <w:marTop w:val="0"/>
      <w:marBottom w:val="0"/>
      <w:divBdr>
        <w:top w:val="none" w:sz="0" w:space="0" w:color="auto"/>
        <w:left w:val="none" w:sz="0" w:space="0" w:color="auto"/>
        <w:bottom w:val="none" w:sz="0" w:space="0" w:color="auto"/>
        <w:right w:val="none" w:sz="0" w:space="0" w:color="auto"/>
      </w:divBdr>
    </w:div>
    <w:div w:id="772439239">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5697381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215505487">
      <w:bodyDiv w:val="1"/>
      <w:marLeft w:val="0"/>
      <w:marRight w:val="0"/>
      <w:marTop w:val="0"/>
      <w:marBottom w:val="0"/>
      <w:divBdr>
        <w:top w:val="none" w:sz="0" w:space="0" w:color="auto"/>
        <w:left w:val="none" w:sz="0" w:space="0" w:color="auto"/>
        <w:bottom w:val="none" w:sz="0" w:space="0" w:color="auto"/>
        <w:right w:val="none" w:sz="0" w:space="0" w:color="auto"/>
      </w:divBdr>
    </w:div>
    <w:div w:id="1257783863">
      <w:bodyDiv w:val="1"/>
      <w:marLeft w:val="0"/>
      <w:marRight w:val="0"/>
      <w:marTop w:val="0"/>
      <w:marBottom w:val="0"/>
      <w:divBdr>
        <w:top w:val="none" w:sz="0" w:space="0" w:color="auto"/>
        <w:left w:val="none" w:sz="0" w:space="0" w:color="auto"/>
        <w:bottom w:val="none" w:sz="0" w:space="0" w:color="auto"/>
        <w:right w:val="none" w:sz="0" w:space="0" w:color="auto"/>
      </w:divBdr>
    </w:div>
    <w:div w:id="130608018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470635490">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4876146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1939294583">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sksevza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FD76-0F1F-4F67-A14A-4E7AB4B5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Анна Холшевникова</cp:lastModifiedBy>
  <cp:revision>182</cp:revision>
  <cp:lastPrinted>2020-01-20T08:20:00Z</cp:lastPrinted>
  <dcterms:created xsi:type="dcterms:W3CDTF">2019-05-24T13:37:00Z</dcterms:created>
  <dcterms:modified xsi:type="dcterms:W3CDTF">2020-01-20T08:20:00Z</dcterms:modified>
</cp:coreProperties>
</file>